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AEF4" w14:textId="77777777" w:rsidR="0020115A" w:rsidRDefault="00363BAC" w:rsidP="007C59A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HOW TO LOSE FRIENDS AND </w:t>
      </w:r>
      <w:r w:rsidR="00F57ACB">
        <w:rPr>
          <w:rFonts w:ascii="Times New Roman" w:hAnsi="Times New Roman" w:cs="Times New Roman"/>
          <w:b/>
          <w:bCs/>
          <w:sz w:val="24"/>
          <w:szCs w:val="24"/>
          <w:u w:val="single"/>
        </w:rPr>
        <w:t>REC</w:t>
      </w:r>
      <w:r w:rsidR="008163FD">
        <w:rPr>
          <w:rFonts w:ascii="Times New Roman" w:hAnsi="Times New Roman" w:cs="Times New Roman"/>
          <w:b/>
          <w:bCs/>
          <w:sz w:val="24"/>
          <w:szCs w:val="24"/>
          <w:u w:val="single"/>
        </w:rPr>
        <w:t>OVER LESS MONEY</w:t>
      </w:r>
    </w:p>
    <w:p w14:paraId="21FA8EE0" w14:textId="77777777" w:rsidR="007C59AE" w:rsidRDefault="007C59AE" w:rsidP="007C59AE">
      <w:pPr>
        <w:jc w:val="center"/>
        <w:rPr>
          <w:rFonts w:ascii="Times New Roman" w:hAnsi="Times New Roman" w:cs="Times New Roman"/>
          <w:b/>
          <w:bCs/>
          <w:sz w:val="24"/>
          <w:szCs w:val="24"/>
          <w:u w:val="single"/>
        </w:rPr>
      </w:pPr>
    </w:p>
    <w:p w14:paraId="2447DEC0" w14:textId="77777777" w:rsidR="00A86610" w:rsidRDefault="00363BAC" w:rsidP="00A6208B">
      <w:pPr>
        <w:spacing w:line="480" w:lineRule="auto"/>
        <w:jc w:val="both"/>
        <w:rPr>
          <w:rFonts w:ascii="Times New Roman" w:hAnsi="Times New Roman" w:cs="Times New Roman"/>
          <w:sz w:val="24"/>
          <w:szCs w:val="24"/>
        </w:rPr>
      </w:pPr>
      <w:r>
        <w:rPr>
          <w:rFonts w:ascii="Times New Roman" w:hAnsi="Times New Roman" w:cs="Times New Roman"/>
          <w:sz w:val="24"/>
          <w:szCs w:val="24"/>
        </w:rPr>
        <w:tab/>
        <w:t>Having practiced law for 27 years I thought I had an idea of the roles that plaintiffs</w:t>
      </w:r>
      <w:r w:rsidR="00AC56C4">
        <w:rPr>
          <w:rFonts w:ascii="Times New Roman" w:hAnsi="Times New Roman" w:cs="Times New Roman"/>
          <w:sz w:val="24"/>
          <w:szCs w:val="24"/>
        </w:rPr>
        <w:t>’</w:t>
      </w:r>
      <w:r>
        <w:rPr>
          <w:rFonts w:ascii="Times New Roman" w:hAnsi="Times New Roman" w:cs="Times New Roman"/>
          <w:sz w:val="24"/>
          <w:szCs w:val="24"/>
        </w:rPr>
        <w:t xml:space="preserve"> and defense counsel play. My understanding was that plaintiffs’ counsel would attempt to put forth the most persuasive case for liability and damages in an effort to maximize their clients</w:t>
      </w:r>
      <w:r w:rsidR="00A6208B">
        <w:rPr>
          <w:rFonts w:ascii="Times New Roman" w:hAnsi="Times New Roman" w:cs="Times New Roman"/>
          <w:sz w:val="24"/>
          <w:szCs w:val="24"/>
        </w:rPr>
        <w:t>’</w:t>
      </w:r>
      <w:r>
        <w:rPr>
          <w:rFonts w:ascii="Times New Roman" w:hAnsi="Times New Roman" w:cs="Times New Roman"/>
          <w:sz w:val="24"/>
          <w:szCs w:val="24"/>
        </w:rPr>
        <w:t xml:space="preserve"> recovery. As defense counsel our role is to investigate, identify</w:t>
      </w:r>
      <w:r>
        <w:rPr>
          <w:rFonts w:ascii="Times New Roman" w:hAnsi="Times New Roman" w:cs="Times New Roman"/>
          <w:sz w:val="24"/>
          <w:szCs w:val="24"/>
        </w:rPr>
        <w:t xml:space="preserve"> facts and either confirm or refute the claims set forth by plaintiffs. While there are countless ways in which both sides reach their ultimate goal, the basic playbook seemed to stay the same. That is until recently. In the last few years</w:t>
      </w:r>
      <w:r w:rsidR="00A6208B">
        <w:rPr>
          <w:rFonts w:ascii="Times New Roman" w:hAnsi="Times New Roman" w:cs="Times New Roman"/>
          <w:sz w:val="24"/>
          <w:szCs w:val="24"/>
        </w:rPr>
        <w:t>,</w:t>
      </w:r>
      <w:r>
        <w:rPr>
          <w:rFonts w:ascii="Times New Roman" w:hAnsi="Times New Roman" w:cs="Times New Roman"/>
          <w:sz w:val="24"/>
          <w:szCs w:val="24"/>
        </w:rPr>
        <w:t xml:space="preserve"> I have personal</w:t>
      </w:r>
      <w:r>
        <w:rPr>
          <w:rFonts w:ascii="Times New Roman" w:hAnsi="Times New Roman" w:cs="Times New Roman"/>
          <w:sz w:val="24"/>
          <w:szCs w:val="24"/>
        </w:rPr>
        <w:t>ly seen a new effort by counsel for plaintiffs which appears to place more emphasis on counsel’s desire to prove their way or their knowledge is somehow superior to everyone else involved in our legal system. Although I have spoken with many plaintiffs</w:t>
      </w:r>
      <w:r w:rsidR="00A6208B">
        <w:rPr>
          <w:rFonts w:ascii="Times New Roman" w:hAnsi="Times New Roman" w:cs="Times New Roman"/>
          <w:sz w:val="24"/>
          <w:szCs w:val="24"/>
        </w:rPr>
        <w:t>’</w:t>
      </w:r>
      <w:r>
        <w:rPr>
          <w:rFonts w:ascii="Times New Roman" w:hAnsi="Times New Roman" w:cs="Times New Roman"/>
          <w:sz w:val="24"/>
          <w:szCs w:val="24"/>
        </w:rPr>
        <w:t xml:space="preserve"> co</w:t>
      </w:r>
      <w:r>
        <w:rPr>
          <w:rFonts w:ascii="Times New Roman" w:hAnsi="Times New Roman" w:cs="Times New Roman"/>
          <w:sz w:val="24"/>
          <w:szCs w:val="24"/>
        </w:rPr>
        <w:t xml:space="preserve">unsel in an attempt to understand the value of this approach I have yet to find anyone on either side of the </w:t>
      </w:r>
      <w:r w:rsidR="00AC56C4">
        <w:rPr>
          <w:rFonts w:ascii="Times New Roman" w:hAnsi="Times New Roman" w:cs="Times New Roman"/>
          <w:sz w:val="24"/>
          <w:szCs w:val="24"/>
        </w:rPr>
        <w:t>“v”</w:t>
      </w:r>
      <w:r>
        <w:rPr>
          <w:rFonts w:ascii="Times New Roman" w:hAnsi="Times New Roman" w:cs="Times New Roman"/>
          <w:sz w:val="24"/>
          <w:szCs w:val="24"/>
        </w:rPr>
        <w:t xml:space="preserve"> that can explain the benefit of the strategy. To be clear, it is my belief that this playbook not only fails to gain an advantage for their cli</w:t>
      </w:r>
      <w:r>
        <w:rPr>
          <w:rFonts w:ascii="Times New Roman" w:hAnsi="Times New Roman" w:cs="Times New Roman"/>
          <w:sz w:val="24"/>
          <w:szCs w:val="24"/>
        </w:rPr>
        <w:t>ent but will also eventually damage the credibility with the court. That’s the good news for us and our clients. The bad news</w:t>
      </w:r>
      <w:r w:rsidR="00A6208B">
        <w:rPr>
          <w:rFonts w:ascii="Times New Roman" w:hAnsi="Times New Roman" w:cs="Times New Roman"/>
          <w:sz w:val="24"/>
          <w:szCs w:val="24"/>
        </w:rPr>
        <w:t>,</w:t>
      </w:r>
      <w:r>
        <w:rPr>
          <w:rFonts w:ascii="Times New Roman" w:hAnsi="Times New Roman" w:cs="Times New Roman"/>
          <w:sz w:val="24"/>
          <w:szCs w:val="24"/>
        </w:rPr>
        <w:t xml:space="preserve"> however, is that we need to find a way to quash the unprofessional, unrealistic, and ridiculous tactics that they have chosen to </w:t>
      </w:r>
      <w:r>
        <w:rPr>
          <w:rFonts w:ascii="Times New Roman" w:hAnsi="Times New Roman" w:cs="Times New Roman"/>
          <w:sz w:val="24"/>
          <w:szCs w:val="24"/>
        </w:rPr>
        <w:t>take.</w:t>
      </w:r>
    </w:p>
    <w:p w14:paraId="74392824" w14:textId="77777777" w:rsidR="009372DF" w:rsidRDefault="00363BAC" w:rsidP="00A6208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goal of this presentation is to outline several of the apparently strategic choices that certain plaintiffs</w:t>
      </w:r>
      <w:r w:rsidR="00A6208B">
        <w:rPr>
          <w:rFonts w:ascii="Times New Roman" w:hAnsi="Times New Roman" w:cs="Times New Roman"/>
          <w:sz w:val="24"/>
          <w:szCs w:val="24"/>
        </w:rPr>
        <w:t>’</w:t>
      </w:r>
      <w:r>
        <w:rPr>
          <w:rFonts w:ascii="Times New Roman" w:hAnsi="Times New Roman" w:cs="Times New Roman"/>
          <w:sz w:val="24"/>
          <w:szCs w:val="24"/>
        </w:rPr>
        <w:t xml:space="preserve"> counsel have chosen to use in their litigation practice and discuss ways that we might highlight the ridiculous nature of their actions </w:t>
      </w:r>
      <w:r>
        <w:rPr>
          <w:rFonts w:ascii="Times New Roman" w:hAnsi="Times New Roman" w:cs="Times New Roman"/>
          <w:sz w:val="24"/>
          <w:szCs w:val="24"/>
        </w:rPr>
        <w:t xml:space="preserve">and find ways to bring this practice to its inevitable conclusion as fast as possible. There are many facets of the playbook that I will not have time to discuss but </w:t>
      </w:r>
      <w:r w:rsidR="00A6208B">
        <w:rPr>
          <w:rFonts w:ascii="Times New Roman" w:hAnsi="Times New Roman" w:cs="Times New Roman"/>
          <w:sz w:val="24"/>
          <w:szCs w:val="24"/>
        </w:rPr>
        <w:t>have</w:t>
      </w:r>
      <w:r>
        <w:rPr>
          <w:rFonts w:ascii="Times New Roman" w:hAnsi="Times New Roman" w:cs="Times New Roman"/>
          <w:sz w:val="24"/>
          <w:szCs w:val="24"/>
        </w:rPr>
        <w:t xml:space="preserve"> attempted to outline some of the more egregious examples and my thoughts on how to be</w:t>
      </w:r>
      <w:r>
        <w:rPr>
          <w:rFonts w:ascii="Times New Roman" w:hAnsi="Times New Roman" w:cs="Times New Roman"/>
          <w:sz w:val="24"/>
          <w:szCs w:val="24"/>
        </w:rPr>
        <w:t xml:space="preserve">st respond. I have no doubt that others have chosen different approaches which may be superior to mine and I’m hopeful that we can have a discussion as to those </w:t>
      </w:r>
      <w:r>
        <w:rPr>
          <w:rFonts w:ascii="Times New Roman" w:hAnsi="Times New Roman" w:cs="Times New Roman"/>
          <w:sz w:val="24"/>
          <w:szCs w:val="24"/>
        </w:rPr>
        <w:lastRenderedPageBreak/>
        <w:t>possibilities. While not necessary, I do think a common approach from the defense bar will assi</w:t>
      </w:r>
      <w:r>
        <w:rPr>
          <w:rFonts w:ascii="Times New Roman" w:hAnsi="Times New Roman" w:cs="Times New Roman"/>
          <w:sz w:val="24"/>
          <w:szCs w:val="24"/>
        </w:rPr>
        <w:t>st in bringing this circus to an end.</w:t>
      </w:r>
    </w:p>
    <w:p w14:paraId="4FC5D65A" w14:textId="0C228F42" w:rsidR="009372DF" w:rsidRDefault="00363BAC" w:rsidP="00A6208B">
      <w:pPr>
        <w:spacing w:line="480" w:lineRule="auto"/>
        <w:jc w:val="both"/>
        <w:rPr>
          <w:rFonts w:ascii="Times New Roman" w:hAnsi="Times New Roman" w:cs="Times New Roman"/>
          <w:sz w:val="24"/>
          <w:szCs w:val="24"/>
        </w:rPr>
      </w:pPr>
      <w:r>
        <w:rPr>
          <w:rFonts w:ascii="Times New Roman" w:hAnsi="Times New Roman" w:cs="Times New Roman"/>
          <w:sz w:val="24"/>
          <w:szCs w:val="24"/>
        </w:rPr>
        <w:tab/>
        <w:t>Although I have practiced in numerous areas, from product liability to railroad work to premises liability, trucking and motor vehicle accidents this presentation will focus primarily on the automobile side as that is</w:t>
      </w:r>
      <w:r>
        <w:rPr>
          <w:rFonts w:ascii="Times New Roman" w:hAnsi="Times New Roman" w:cs="Times New Roman"/>
          <w:sz w:val="24"/>
          <w:szCs w:val="24"/>
        </w:rPr>
        <w:t xml:space="preserve"> wh</w:t>
      </w:r>
      <w:r w:rsidR="00A6208B">
        <w:rPr>
          <w:rFonts w:ascii="Times New Roman" w:hAnsi="Times New Roman" w:cs="Times New Roman"/>
          <w:sz w:val="24"/>
          <w:szCs w:val="24"/>
        </w:rPr>
        <w:t>ere</w:t>
      </w:r>
      <w:r>
        <w:rPr>
          <w:rFonts w:ascii="Times New Roman" w:hAnsi="Times New Roman" w:cs="Times New Roman"/>
          <w:sz w:val="24"/>
          <w:szCs w:val="24"/>
        </w:rPr>
        <w:t xml:space="preserve"> I have seen the majority of behaviors we will discuss. My assumption is that this playbook is being used, at least to some degree</w:t>
      </w:r>
      <w:r w:rsidR="008E669A">
        <w:rPr>
          <w:rFonts w:ascii="Times New Roman" w:hAnsi="Times New Roman" w:cs="Times New Roman"/>
          <w:sz w:val="24"/>
          <w:szCs w:val="24"/>
        </w:rPr>
        <w:t>,</w:t>
      </w:r>
      <w:r>
        <w:rPr>
          <w:rFonts w:ascii="Times New Roman" w:hAnsi="Times New Roman" w:cs="Times New Roman"/>
          <w:sz w:val="24"/>
          <w:szCs w:val="24"/>
        </w:rPr>
        <w:t xml:space="preserve"> in multiple areas.</w:t>
      </w:r>
    </w:p>
    <w:p w14:paraId="73BD1C79" w14:textId="77777777" w:rsidR="00DD7AD2" w:rsidRPr="00DD7AD2" w:rsidRDefault="00363BAC" w:rsidP="00DD7AD2">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PLAYBOOK</w:t>
      </w:r>
    </w:p>
    <w:p w14:paraId="38FA4FBC" w14:textId="77777777" w:rsidR="009372DF" w:rsidRDefault="00363BAC" w:rsidP="00A6208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PRELITIGATION ANTICS</w:t>
      </w:r>
    </w:p>
    <w:p w14:paraId="75D1A9D9" w14:textId="77777777" w:rsidR="00A6208B" w:rsidRDefault="00363BAC" w:rsidP="00A620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 I receive calls from clients and adjusters on a regular basis for assistance with liability issues and valuation, those calls and discussions have changed in recent times. Specifically, the inquiry revolves around whether or not, with completely i</w:t>
      </w:r>
      <w:r>
        <w:rPr>
          <w:rFonts w:ascii="Times New Roman" w:hAnsi="Times New Roman" w:cs="Times New Roman"/>
          <w:sz w:val="24"/>
          <w:szCs w:val="24"/>
        </w:rPr>
        <w:t>mperfect information, the client or adjuster is legally required to respond to a demand, with an offer, in a specific time period. While I believe that most here are familiar with Kentucky’s unfair claims settlement practices act, it appears that plaintiff</w:t>
      </w:r>
      <w:r>
        <w:rPr>
          <w:rFonts w:ascii="Times New Roman" w:hAnsi="Times New Roman" w:cs="Times New Roman"/>
          <w:sz w:val="24"/>
          <w:szCs w:val="24"/>
        </w:rPr>
        <w:t xml:space="preserve">s’ counsel have a different understanding of the statute. Moreover, they believe it is their ultimate hammer to force insurance adjusters and others into settling cases or risking claims of bad faith.  </w:t>
      </w:r>
    </w:p>
    <w:p w14:paraId="076DDFC6" w14:textId="7A12AF26" w:rsidR="00341713" w:rsidRDefault="00363BAC" w:rsidP="007C45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Kentucky’s unfair claims settlement practices act set</w:t>
      </w:r>
      <w:r>
        <w:rPr>
          <w:rFonts w:ascii="Times New Roman" w:hAnsi="Times New Roman" w:cs="Times New Roman"/>
          <w:sz w:val="24"/>
          <w:szCs w:val="24"/>
        </w:rPr>
        <w:t>s forth 17 separate actions or omissions on the part of the insurers that are precluded. For the purposes of this discussion</w:t>
      </w:r>
      <w:r w:rsidR="008E669A">
        <w:rPr>
          <w:rFonts w:ascii="Times New Roman" w:hAnsi="Times New Roman" w:cs="Times New Roman"/>
          <w:sz w:val="24"/>
          <w:szCs w:val="24"/>
        </w:rPr>
        <w:t>,</w:t>
      </w:r>
      <w:r>
        <w:rPr>
          <w:rFonts w:ascii="Times New Roman" w:hAnsi="Times New Roman" w:cs="Times New Roman"/>
          <w:sz w:val="24"/>
          <w:szCs w:val="24"/>
        </w:rPr>
        <w:t xml:space="preserve"> I believe we can focus on just a few</w:t>
      </w:r>
      <w:r w:rsidR="00052337">
        <w:rPr>
          <w:rFonts w:ascii="Times New Roman" w:hAnsi="Times New Roman" w:cs="Times New Roman"/>
          <w:sz w:val="24"/>
          <w:szCs w:val="24"/>
        </w:rPr>
        <w:t>.</w:t>
      </w:r>
      <w:r w:rsidR="008E669A">
        <w:rPr>
          <w:rFonts w:ascii="Times New Roman" w:hAnsi="Times New Roman" w:cs="Times New Roman"/>
          <w:sz w:val="24"/>
          <w:szCs w:val="24"/>
        </w:rPr>
        <w:t>“</w:t>
      </w:r>
      <w:r w:rsidR="00052337">
        <w:rPr>
          <w:rFonts w:ascii="Times New Roman" w:hAnsi="Times New Roman" w:cs="Times New Roman"/>
          <w:sz w:val="24"/>
          <w:szCs w:val="24"/>
        </w:rPr>
        <w:t>(</w:t>
      </w:r>
      <w:r>
        <w:rPr>
          <w:rFonts w:ascii="Times New Roman" w:hAnsi="Times New Roman" w:cs="Times New Roman"/>
          <w:sz w:val="24"/>
          <w:szCs w:val="24"/>
        </w:rPr>
        <w:t>4) Refusing to pay claims without conducting a reasonable investigation based upon all in</w:t>
      </w:r>
      <w:r>
        <w:rPr>
          <w:rFonts w:ascii="Times New Roman" w:hAnsi="Times New Roman" w:cs="Times New Roman"/>
          <w:sz w:val="24"/>
          <w:szCs w:val="24"/>
        </w:rPr>
        <w:t xml:space="preserve">formation,” and “(6) Not attempting in good faith to effectuate prompt, fair and equitable settlements of claims in which liability has become reasonably clear.” Although these appear to be the most frequently cited portions of the act by plaintiffs’ </w:t>
      </w:r>
      <w:r w:rsidR="00DB3E2A">
        <w:rPr>
          <w:rFonts w:ascii="Times New Roman" w:hAnsi="Times New Roman" w:cs="Times New Roman"/>
          <w:sz w:val="24"/>
          <w:szCs w:val="24"/>
        </w:rPr>
        <w:t>counsel,</w:t>
      </w:r>
      <w:r>
        <w:rPr>
          <w:rFonts w:ascii="Times New Roman" w:hAnsi="Times New Roman" w:cs="Times New Roman"/>
          <w:sz w:val="24"/>
          <w:szCs w:val="24"/>
        </w:rPr>
        <w:t xml:space="preserve"> we </w:t>
      </w:r>
      <w:r>
        <w:rPr>
          <w:rFonts w:ascii="Times New Roman" w:hAnsi="Times New Roman" w:cs="Times New Roman"/>
          <w:sz w:val="24"/>
          <w:szCs w:val="24"/>
        </w:rPr>
        <w:lastRenderedPageBreak/>
        <w:t xml:space="preserve">also see many references to the failure to investigate, the failure to use reasonable standards and other similar phrases. These requirements are not unduly </w:t>
      </w:r>
      <w:r w:rsidR="00DB3E2A">
        <w:rPr>
          <w:rFonts w:ascii="Times New Roman" w:hAnsi="Times New Roman" w:cs="Times New Roman"/>
          <w:sz w:val="24"/>
          <w:szCs w:val="24"/>
        </w:rPr>
        <w:t>burdensome,</w:t>
      </w:r>
      <w:r>
        <w:rPr>
          <w:rFonts w:ascii="Times New Roman" w:hAnsi="Times New Roman" w:cs="Times New Roman"/>
          <w:sz w:val="24"/>
          <w:szCs w:val="24"/>
        </w:rPr>
        <w:t xml:space="preserve"> and it is the duty of all insurance carriers and others to comply with the act. </w:t>
      </w:r>
      <w:r>
        <w:rPr>
          <w:rFonts w:ascii="Times New Roman" w:hAnsi="Times New Roman" w:cs="Times New Roman"/>
          <w:sz w:val="24"/>
          <w:szCs w:val="24"/>
        </w:rPr>
        <w:t xml:space="preserve">These requirements, however, cannot be simply looked at </w:t>
      </w:r>
      <w:r w:rsidR="00B26AE1">
        <w:rPr>
          <w:rFonts w:ascii="Times New Roman" w:hAnsi="Times New Roman" w:cs="Times New Roman"/>
          <w:sz w:val="24"/>
          <w:szCs w:val="24"/>
        </w:rPr>
        <w:t>in a</w:t>
      </w:r>
      <w:r>
        <w:rPr>
          <w:rFonts w:ascii="Times New Roman" w:hAnsi="Times New Roman" w:cs="Times New Roman"/>
          <w:sz w:val="24"/>
          <w:szCs w:val="24"/>
        </w:rPr>
        <w:t xml:space="preserve"> vacuum. In order for an insurance carrier or other individual to comply with these requirements</w:t>
      </w:r>
      <w:r w:rsidR="008E669A">
        <w:rPr>
          <w:rFonts w:ascii="Times New Roman" w:hAnsi="Times New Roman" w:cs="Times New Roman"/>
          <w:sz w:val="24"/>
          <w:szCs w:val="24"/>
        </w:rPr>
        <w:t>,</w:t>
      </w:r>
      <w:r>
        <w:rPr>
          <w:rFonts w:ascii="Times New Roman" w:hAnsi="Times New Roman" w:cs="Times New Roman"/>
          <w:sz w:val="24"/>
          <w:szCs w:val="24"/>
        </w:rPr>
        <w:t xml:space="preserve"> they must have sufficient information from which to make reasonable decisions. It is this last por</w:t>
      </w:r>
      <w:r>
        <w:rPr>
          <w:rFonts w:ascii="Times New Roman" w:hAnsi="Times New Roman" w:cs="Times New Roman"/>
          <w:sz w:val="24"/>
          <w:szCs w:val="24"/>
        </w:rPr>
        <w:t xml:space="preserve">tion </w:t>
      </w:r>
      <w:r w:rsidR="00B26AE1">
        <w:rPr>
          <w:rFonts w:ascii="Times New Roman" w:hAnsi="Times New Roman" w:cs="Times New Roman"/>
          <w:sz w:val="24"/>
          <w:szCs w:val="24"/>
        </w:rPr>
        <w:t>that</w:t>
      </w:r>
      <w:r>
        <w:rPr>
          <w:rFonts w:ascii="Times New Roman" w:hAnsi="Times New Roman" w:cs="Times New Roman"/>
          <w:sz w:val="24"/>
          <w:szCs w:val="24"/>
        </w:rPr>
        <w:t xml:space="preserve"> plaintiff’s counsel simply ignore.</w:t>
      </w:r>
    </w:p>
    <w:p w14:paraId="1D2E5ED0" w14:textId="77777777" w:rsidR="007C4589" w:rsidRDefault="00363BAC" w:rsidP="007C45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the dictates of KRS 304.12 – 230 and in an effort to further pressure insurance carriers, plaintiffs also cite to KRS 304.12 – 235, suggesting that the carrier must respond to any and all </w:t>
      </w:r>
      <w:r>
        <w:rPr>
          <w:rFonts w:ascii="Times New Roman" w:hAnsi="Times New Roman" w:cs="Times New Roman"/>
          <w:sz w:val="24"/>
          <w:szCs w:val="24"/>
        </w:rPr>
        <w:t>demands within 30 days. KRS 304.12 – 235 states:</w:t>
      </w:r>
    </w:p>
    <w:p w14:paraId="16F807AA" w14:textId="77777777" w:rsidR="00341713" w:rsidRDefault="00363BAC" w:rsidP="007C4589">
      <w:pPr>
        <w:pStyle w:val="ListParagraph"/>
        <w:numPr>
          <w:ilvl w:val="0"/>
          <w:numId w:val="2"/>
        </w:numPr>
        <w:spacing w:line="240" w:lineRule="auto"/>
        <w:ind w:right="720"/>
        <w:jc w:val="both"/>
        <w:rPr>
          <w:rFonts w:ascii="Times New Roman" w:hAnsi="Times New Roman" w:cs="Times New Roman"/>
          <w:sz w:val="24"/>
          <w:szCs w:val="24"/>
        </w:rPr>
      </w:pPr>
      <w:r w:rsidRPr="007C4589">
        <w:rPr>
          <w:rFonts w:ascii="Times New Roman" w:hAnsi="Times New Roman" w:cs="Times New Roman"/>
          <w:sz w:val="24"/>
          <w:szCs w:val="24"/>
        </w:rPr>
        <w:t>All claims arising under the terms of any contract of insurance shall be paid to the named insured person or health care provider not more than thirty (30) days from the date upon which notice and proof of c</w:t>
      </w:r>
      <w:r w:rsidRPr="007C4589">
        <w:rPr>
          <w:rFonts w:ascii="Times New Roman" w:hAnsi="Times New Roman" w:cs="Times New Roman"/>
          <w:sz w:val="24"/>
          <w:szCs w:val="24"/>
        </w:rPr>
        <w:t>laim, in the substance and form required by the terms of the policy, are furnished the insurer.</w:t>
      </w:r>
    </w:p>
    <w:p w14:paraId="444ABDC7" w14:textId="77777777" w:rsidR="00DB3E2A" w:rsidRDefault="00363BAC" w:rsidP="007C4589">
      <w:pPr>
        <w:pStyle w:val="ListParagraph"/>
        <w:numPr>
          <w:ilvl w:val="0"/>
          <w:numId w:val="2"/>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If an insurer fails to make a good faith attempt to settle a claim within the time prescribed in (1) of this section, the value of the final settlement shall be</w:t>
      </w:r>
      <w:r>
        <w:rPr>
          <w:rFonts w:ascii="Times New Roman" w:hAnsi="Times New Roman" w:cs="Times New Roman"/>
          <w:sz w:val="24"/>
          <w:szCs w:val="24"/>
        </w:rPr>
        <w:t>ar interest at the rate of twelve percent (12%) per annum from and after the expiration of the thirty (30) day period.</w:t>
      </w:r>
    </w:p>
    <w:p w14:paraId="025F5DE7" w14:textId="77777777" w:rsidR="00DB3E2A" w:rsidRDefault="00363BAC" w:rsidP="007C4589">
      <w:pPr>
        <w:pStyle w:val="ListParagraph"/>
        <w:numPr>
          <w:ilvl w:val="0"/>
          <w:numId w:val="2"/>
        </w:numPr>
        <w:spacing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If an insurer fails to settle a claim within the time prescribed in (1) of this section and the delay without reasonable foundation, the </w:t>
      </w:r>
      <w:r>
        <w:rPr>
          <w:rFonts w:ascii="Times New Roman" w:hAnsi="Times New Roman" w:cs="Times New Roman"/>
          <w:sz w:val="24"/>
          <w:szCs w:val="24"/>
        </w:rPr>
        <w:t>insured person or health care provider shall be entitled to be reimbursed for his reasonable attorney’s fees incurred. No part of the fee for representing the claimant in connection with this claim shall be charged against benefits otherwise due the claima</w:t>
      </w:r>
      <w:r>
        <w:rPr>
          <w:rFonts w:ascii="Times New Roman" w:hAnsi="Times New Roman" w:cs="Times New Roman"/>
          <w:sz w:val="24"/>
          <w:szCs w:val="24"/>
        </w:rPr>
        <w:t>nt.</w:t>
      </w:r>
    </w:p>
    <w:p w14:paraId="1FA21BE5" w14:textId="77777777" w:rsidR="00DB3E2A" w:rsidRDefault="00DB3E2A" w:rsidP="00DB3E2A">
      <w:pPr>
        <w:spacing w:line="240" w:lineRule="auto"/>
        <w:jc w:val="both"/>
        <w:rPr>
          <w:rFonts w:ascii="Times New Roman" w:hAnsi="Times New Roman" w:cs="Times New Roman"/>
          <w:sz w:val="24"/>
          <w:szCs w:val="24"/>
        </w:rPr>
      </w:pPr>
    </w:p>
    <w:p w14:paraId="2914E3C8" w14:textId="77777777" w:rsidR="007C4589" w:rsidRDefault="00363BAC" w:rsidP="00DB3E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plaintiff’s counsel references part one of the statute in his demand for settlements, it is clearly the interest and fees referenced in sections 2 and 3 that they are ultimately after. Fortunately, plaintiffs simply don’t understand or don’t car</w:t>
      </w:r>
      <w:r>
        <w:rPr>
          <w:rFonts w:ascii="Times New Roman" w:hAnsi="Times New Roman" w:cs="Times New Roman"/>
          <w:sz w:val="24"/>
          <w:szCs w:val="24"/>
        </w:rPr>
        <w:t>e whether or not they are entitled to invoke this statute.</w:t>
      </w:r>
    </w:p>
    <w:p w14:paraId="217333FE" w14:textId="77777777" w:rsidR="00A86610" w:rsidRDefault="00363BAC" w:rsidP="00DB3E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C4589">
        <w:rPr>
          <w:rFonts w:ascii="Times New Roman" w:hAnsi="Times New Roman" w:cs="Times New Roman"/>
          <w:sz w:val="24"/>
          <w:szCs w:val="24"/>
        </w:rPr>
        <w:t xml:space="preserve">lease note the initial phrase contained in the statute which </w:t>
      </w:r>
      <w:r>
        <w:rPr>
          <w:rFonts w:ascii="Times New Roman" w:hAnsi="Times New Roman" w:cs="Times New Roman"/>
          <w:sz w:val="24"/>
          <w:szCs w:val="24"/>
        </w:rPr>
        <w:t>says</w:t>
      </w:r>
      <w:r w:rsidR="007C4589">
        <w:rPr>
          <w:rFonts w:ascii="Times New Roman" w:hAnsi="Times New Roman" w:cs="Times New Roman"/>
          <w:sz w:val="24"/>
          <w:szCs w:val="24"/>
        </w:rPr>
        <w:t xml:space="preserve"> that it relates only to claims arising under the terms of a contract of insurance. As such, the statute will never apply to 3rd party </w:t>
      </w:r>
      <w:r w:rsidR="007C4589">
        <w:rPr>
          <w:rFonts w:ascii="Times New Roman" w:hAnsi="Times New Roman" w:cs="Times New Roman"/>
          <w:sz w:val="24"/>
          <w:szCs w:val="24"/>
        </w:rPr>
        <w:lastRenderedPageBreak/>
        <w:t>claim</w:t>
      </w:r>
      <w:r w:rsidR="000E1A08">
        <w:rPr>
          <w:rFonts w:ascii="Times New Roman" w:hAnsi="Times New Roman" w:cs="Times New Roman"/>
          <w:sz w:val="24"/>
          <w:szCs w:val="24"/>
        </w:rPr>
        <w:t>s</w:t>
      </w:r>
      <w:r w:rsidR="007C4589">
        <w:rPr>
          <w:rFonts w:ascii="Times New Roman" w:hAnsi="Times New Roman" w:cs="Times New Roman"/>
          <w:sz w:val="24"/>
          <w:szCs w:val="24"/>
        </w:rPr>
        <w:t xml:space="preserve">, but only as to 1st party claims. More importantly such payments are only required to be made when proof of the claim has been made </w:t>
      </w:r>
      <w:r w:rsidR="007C4589" w:rsidRPr="00B26AE1">
        <w:rPr>
          <w:rFonts w:ascii="Times New Roman" w:hAnsi="Times New Roman" w:cs="Times New Roman"/>
          <w:b/>
          <w:bCs/>
          <w:sz w:val="24"/>
          <w:szCs w:val="24"/>
        </w:rPr>
        <w:t>in the substance and form required by the policy</w:t>
      </w:r>
      <w:r w:rsidR="007C4589">
        <w:rPr>
          <w:rFonts w:ascii="Times New Roman" w:hAnsi="Times New Roman" w:cs="Times New Roman"/>
          <w:sz w:val="24"/>
          <w:szCs w:val="24"/>
        </w:rPr>
        <w:t xml:space="preserve">. Although the terms contained in </w:t>
      </w:r>
      <w:proofErr w:type="spellStart"/>
      <w:r w:rsidR="007C4589">
        <w:rPr>
          <w:rFonts w:ascii="Times New Roman" w:hAnsi="Times New Roman" w:cs="Times New Roman"/>
          <w:sz w:val="24"/>
          <w:szCs w:val="24"/>
        </w:rPr>
        <w:t>UIM</w:t>
      </w:r>
      <w:proofErr w:type="spellEnd"/>
      <w:r w:rsidR="007C4589">
        <w:rPr>
          <w:rFonts w:ascii="Times New Roman" w:hAnsi="Times New Roman" w:cs="Times New Roman"/>
          <w:sz w:val="24"/>
          <w:szCs w:val="24"/>
        </w:rPr>
        <w:t xml:space="preserve"> policies may differ slightly, all require a determination of liability on the part of the tortfeasor, a similar determination of liability on the part of the insured, evidence of the damages incurred by the insured and finally, what amount of the insured’s damages exceed the available coverage of the tortfeasor. As many of us have seen</w:t>
      </w:r>
      <w:r w:rsidR="00B26AE1">
        <w:rPr>
          <w:rFonts w:ascii="Times New Roman" w:hAnsi="Times New Roman" w:cs="Times New Roman"/>
          <w:sz w:val="24"/>
          <w:szCs w:val="24"/>
        </w:rPr>
        <w:t>,</w:t>
      </w:r>
      <w:r w:rsidR="007C4589">
        <w:rPr>
          <w:rFonts w:ascii="Times New Roman" w:hAnsi="Times New Roman" w:cs="Times New Roman"/>
          <w:sz w:val="24"/>
          <w:szCs w:val="24"/>
        </w:rPr>
        <w:t xml:space="preserve"> counsel for plaintiffs seemingly ignore these requirements and instead simply refer back to the unfair claim settlement practices act, specifically that portion that requires prompt, fair and equitable settlements.</w:t>
      </w:r>
      <w:r w:rsidR="0055551C">
        <w:rPr>
          <w:rFonts w:ascii="Times New Roman" w:hAnsi="Times New Roman" w:cs="Times New Roman"/>
          <w:sz w:val="24"/>
          <w:szCs w:val="24"/>
        </w:rPr>
        <w:t xml:space="preserve"> This practice, in my opinion, is deceptive and counsel is fully aware that they are misstating the law.</w:t>
      </w:r>
    </w:p>
    <w:p w14:paraId="5B9E63EC" w14:textId="5F8D5CC2" w:rsidR="000F38AC" w:rsidRDefault="00363BAC" w:rsidP="007C4589">
      <w:pPr>
        <w:spacing w:line="480" w:lineRule="auto"/>
        <w:jc w:val="both"/>
        <w:rPr>
          <w:rFonts w:ascii="Times New Roman" w:hAnsi="Times New Roman" w:cs="Times New Roman"/>
          <w:sz w:val="24"/>
          <w:szCs w:val="24"/>
        </w:rPr>
      </w:pPr>
      <w:r>
        <w:rPr>
          <w:rFonts w:ascii="Times New Roman" w:hAnsi="Times New Roman" w:cs="Times New Roman"/>
          <w:sz w:val="24"/>
          <w:szCs w:val="24"/>
        </w:rPr>
        <w:tab/>
        <w:t>Plain</w:t>
      </w:r>
      <w:r>
        <w:rPr>
          <w:rFonts w:ascii="Times New Roman" w:hAnsi="Times New Roman" w:cs="Times New Roman"/>
          <w:sz w:val="24"/>
          <w:szCs w:val="24"/>
        </w:rPr>
        <w:t>tiffs</w:t>
      </w:r>
      <w:r w:rsidR="00A8308B">
        <w:rPr>
          <w:rFonts w:ascii="Times New Roman" w:hAnsi="Times New Roman" w:cs="Times New Roman"/>
          <w:sz w:val="24"/>
          <w:szCs w:val="24"/>
        </w:rPr>
        <w:t>’</w:t>
      </w:r>
      <w:r>
        <w:rPr>
          <w:rFonts w:ascii="Times New Roman" w:hAnsi="Times New Roman" w:cs="Times New Roman"/>
          <w:sz w:val="24"/>
          <w:szCs w:val="24"/>
        </w:rPr>
        <w:t xml:space="preserve"> practice of pushing for timed demands and quick responses is seen most often in matters where legal liability for the accident is clear or appears clear. This allows counsel to reference section (6) and its requirement of prompt settlements in claim</w:t>
      </w:r>
      <w:r>
        <w:rPr>
          <w:rFonts w:ascii="Times New Roman" w:hAnsi="Times New Roman" w:cs="Times New Roman"/>
          <w:sz w:val="24"/>
          <w:szCs w:val="24"/>
        </w:rPr>
        <w:t>s in which liability has become reasonably clear. The requirements of this section, however, are not a</w:t>
      </w:r>
      <w:r w:rsidR="00547F1A">
        <w:rPr>
          <w:rFonts w:ascii="Times New Roman" w:hAnsi="Times New Roman" w:cs="Times New Roman"/>
          <w:sz w:val="24"/>
          <w:szCs w:val="24"/>
        </w:rPr>
        <w:t>s</w:t>
      </w:r>
      <w:r>
        <w:rPr>
          <w:rFonts w:ascii="Times New Roman" w:hAnsi="Times New Roman" w:cs="Times New Roman"/>
          <w:sz w:val="24"/>
          <w:szCs w:val="24"/>
        </w:rPr>
        <w:t xml:space="preserve"> simple as plaintiffs would like them to be </w:t>
      </w:r>
      <w:r w:rsidR="00A8308B">
        <w:rPr>
          <w:rFonts w:ascii="Times New Roman" w:hAnsi="Times New Roman" w:cs="Times New Roman"/>
          <w:sz w:val="24"/>
          <w:szCs w:val="24"/>
        </w:rPr>
        <w:t>and</w:t>
      </w:r>
      <w:r>
        <w:rPr>
          <w:rFonts w:ascii="Times New Roman" w:hAnsi="Times New Roman" w:cs="Times New Roman"/>
          <w:sz w:val="24"/>
          <w:szCs w:val="24"/>
        </w:rPr>
        <w:t xml:space="preserve"> require more before a settlement is required. </w:t>
      </w:r>
      <w:r w:rsidRPr="00824ACF">
        <w:rPr>
          <w:rFonts w:ascii="Times New Roman" w:hAnsi="Times New Roman" w:cs="Times New Roman"/>
          <w:i/>
          <w:iCs/>
          <w:sz w:val="24"/>
          <w:szCs w:val="24"/>
        </w:rPr>
        <w:t>Holloway v. Direct Gen. Ins. Co. of Mississippi Inc.</w:t>
      </w:r>
      <w:r w:rsidR="00824ACF">
        <w:rPr>
          <w:rFonts w:ascii="Times New Roman" w:hAnsi="Times New Roman" w:cs="Times New Roman"/>
          <w:sz w:val="24"/>
          <w:szCs w:val="24"/>
        </w:rPr>
        <w:t>, 497 SW. 3</w:t>
      </w:r>
      <w:r w:rsidR="00824ACF" w:rsidRPr="00824ACF">
        <w:rPr>
          <w:rFonts w:ascii="Times New Roman" w:hAnsi="Times New Roman" w:cs="Times New Roman"/>
          <w:sz w:val="24"/>
          <w:szCs w:val="24"/>
          <w:vertAlign w:val="superscript"/>
        </w:rPr>
        <w:t>rd</w:t>
      </w:r>
      <w:r w:rsidR="00824ACF">
        <w:rPr>
          <w:rFonts w:ascii="Times New Roman" w:hAnsi="Times New Roman" w:cs="Times New Roman"/>
          <w:sz w:val="24"/>
          <w:szCs w:val="24"/>
        </w:rPr>
        <w:t xml:space="preserve"> 733 (Ky. 2016) provides specific guidance regarding the meaning of the phrase “claims in which liability has become reasonably clear.” </w:t>
      </w:r>
      <w:r w:rsidR="00B26AE1">
        <w:rPr>
          <w:rFonts w:ascii="Times New Roman" w:hAnsi="Times New Roman" w:cs="Times New Roman"/>
          <w:sz w:val="24"/>
          <w:szCs w:val="24"/>
        </w:rPr>
        <w:t>T</w:t>
      </w:r>
      <w:r w:rsidR="00824ACF">
        <w:rPr>
          <w:rFonts w:ascii="Times New Roman" w:hAnsi="Times New Roman" w:cs="Times New Roman"/>
          <w:sz w:val="24"/>
          <w:szCs w:val="24"/>
        </w:rPr>
        <w:t>his matter involv</w:t>
      </w:r>
      <w:r w:rsidR="00B26AE1">
        <w:rPr>
          <w:rFonts w:ascii="Times New Roman" w:hAnsi="Times New Roman" w:cs="Times New Roman"/>
          <w:sz w:val="24"/>
          <w:szCs w:val="24"/>
        </w:rPr>
        <w:t>ed a</w:t>
      </w:r>
      <w:r w:rsidR="00824ACF">
        <w:rPr>
          <w:rFonts w:ascii="Times New Roman" w:hAnsi="Times New Roman" w:cs="Times New Roman"/>
          <w:sz w:val="24"/>
          <w:szCs w:val="24"/>
        </w:rPr>
        <w:t xml:space="preserve"> parking lot accident</w:t>
      </w:r>
      <w:r w:rsidR="003471D8">
        <w:rPr>
          <w:rFonts w:ascii="Times New Roman" w:hAnsi="Times New Roman" w:cs="Times New Roman"/>
          <w:sz w:val="24"/>
          <w:szCs w:val="24"/>
        </w:rPr>
        <w:t>.</w:t>
      </w:r>
      <w:r w:rsidR="00B26AE1">
        <w:rPr>
          <w:rFonts w:ascii="Times New Roman" w:hAnsi="Times New Roman" w:cs="Times New Roman"/>
          <w:sz w:val="24"/>
          <w:szCs w:val="24"/>
        </w:rPr>
        <w:t xml:space="preserve"> T</w:t>
      </w:r>
      <w:r w:rsidR="00824ACF">
        <w:rPr>
          <w:rFonts w:ascii="Times New Roman" w:hAnsi="Times New Roman" w:cs="Times New Roman"/>
          <w:sz w:val="24"/>
          <w:szCs w:val="24"/>
        </w:rPr>
        <w:t>he Court noted that not only did the insurance carrier question its insured’s liability for the accident</w:t>
      </w:r>
      <w:r w:rsidR="003E0C40">
        <w:rPr>
          <w:rFonts w:ascii="Times New Roman" w:hAnsi="Times New Roman" w:cs="Times New Roman"/>
          <w:sz w:val="24"/>
          <w:szCs w:val="24"/>
        </w:rPr>
        <w:t>,</w:t>
      </w:r>
      <w:r w:rsidR="00824ACF">
        <w:rPr>
          <w:rFonts w:ascii="Times New Roman" w:hAnsi="Times New Roman" w:cs="Times New Roman"/>
          <w:sz w:val="24"/>
          <w:szCs w:val="24"/>
        </w:rPr>
        <w:t xml:space="preserve"> but </w:t>
      </w:r>
      <w:r w:rsidR="00B26AE1">
        <w:rPr>
          <w:rFonts w:ascii="Times New Roman" w:hAnsi="Times New Roman" w:cs="Times New Roman"/>
          <w:sz w:val="24"/>
          <w:szCs w:val="24"/>
        </w:rPr>
        <w:t>more importantly contested whether</w:t>
      </w:r>
      <w:r w:rsidR="00824ACF">
        <w:rPr>
          <w:rFonts w:ascii="Times New Roman" w:hAnsi="Times New Roman" w:cs="Times New Roman"/>
          <w:sz w:val="24"/>
          <w:szCs w:val="24"/>
        </w:rPr>
        <w:t xml:space="preserve"> plaintiffs</w:t>
      </w:r>
      <w:r w:rsidR="00A8308B">
        <w:rPr>
          <w:rFonts w:ascii="Times New Roman" w:hAnsi="Times New Roman" w:cs="Times New Roman"/>
          <w:sz w:val="24"/>
          <w:szCs w:val="24"/>
        </w:rPr>
        <w:t>’</w:t>
      </w:r>
      <w:r w:rsidR="00824ACF">
        <w:rPr>
          <w:rFonts w:ascii="Times New Roman" w:hAnsi="Times New Roman" w:cs="Times New Roman"/>
          <w:sz w:val="24"/>
          <w:szCs w:val="24"/>
        </w:rPr>
        <w:t xml:space="preserve"> injuries and damages were </w:t>
      </w:r>
      <w:r w:rsidR="00B26AE1">
        <w:rPr>
          <w:rFonts w:ascii="Times New Roman" w:hAnsi="Times New Roman" w:cs="Times New Roman"/>
          <w:sz w:val="24"/>
          <w:szCs w:val="24"/>
        </w:rPr>
        <w:t>related</w:t>
      </w:r>
      <w:r w:rsidR="00824ACF">
        <w:rPr>
          <w:rFonts w:ascii="Times New Roman" w:hAnsi="Times New Roman" w:cs="Times New Roman"/>
          <w:sz w:val="24"/>
          <w:szCs w:val="24"/>
        </w:rPr>
        <w:t>. “</w:t>
      </w:r>
      <w:r w:rsidR="00A8308B">
        <w:rPr>
          <w:rFonts w:ascii="Times New Roman" w:hAnsi="Times New Roman" w:cs="Times New Roman"/>
          <w:sz w:val="24"/>
          <w:szCs w:val="24"/>
        </w:rPr>
        <w:t>The second, a</w:t>
      </w:r>
      <w:r w:rsidR="00824ACF">
        <w:rPr>
          <w:rFonts w:ascii="Times New Roman" w:hAnsi="Times New Roman" w:cs="Times New Roman"/>
          <w:sz w:val="24"/>
          <w:szCs w:val="24"/>
        </w:rPr>
        <w:t>nd more important, dispute</w:t>
      </w:r>
      <w:r w:rsidR="00A8308B">
        <w:rPr>
          <w:rFonts w:ascii="Times New Roman" w:hAnsi="Times New Roman" w:cs="Times New Roman"/>
          <w:sz w:val="24"/>
          <w:szCs w:val="24"/>
        </w:rPr>
        <w:t xml:space="preserve"> between</w:t>
      </w:r>
      <w:r w:rsidR="00824ACF">
        <w:rPr>
          <w:rFonts w:ascii="Times New Roman" w:hAnsi="Times New Roman" w:cs="Times New Roman"/>
          <w:sz w:val="24"/>
          <w:szCs w:val="24"/>
        </w:rPr>
        <w:t xml:space="preserve"> Holloway and Direct General is the extent and severity of her alleged injuries from the accident – liability Direct General has seriously contested from the outset.” (</w:t>
      </w:r>
      <w:r w:rsidR="00824ACF">
        <w:rPr>
          <w:rFonts w:ascii="Times New Roman" w:hAnsi="Times New Roman" w:cs="Times New Roman"/>
          <w:i/>
          <w:iCs/>
          <w:sz w:val="24"/>
          <w:szCs w:val="24"/>
        </w:rPr>
        <w:t>Id.</w:t>
      </w:r>
      <w:r w:rsidR="00824ACF">
        <w:rPr>
          <w:rFonts w:ascii="Times New Roman" w:hAnsi="Times New Roman" w:cs="Times New Roman"/>
          <w:sz w:val="24"/>
          <w:szCs w:val="24"/>
        </w:rPr>
        <w:t>, at 739).</w:t>
      </w:r>
      <w:r w:rsidR="00A8308B">
        <w:rPr>
          <w:rFonts w:ascii="Times New Roman" w:hAnsi="Times New Roman" w:cs="Times New Roman"/>
          <w:sz w:val="24"/>
          <w:szCs w:val="24"/>
        </w:rPr>
        <w:t xml:space="preserve">  </w:t>
      </w:r>
      <w:r w:rsidR="00B26AE1">
        <w:rPr>
          <w:rFonts w:ascii="Times New Roman" w:hAnsi="Times New Roman" w:cs="Times New Roman"/>
          <w:sz w:val="24"/>
          <w:szCs w:val="24"/>
        </w:rPr>
        <w:t xml:space="preserve">After noting that Direct General had initially thought its insured was at fault, </w:t>
      </w:r>
      <w:r w:rsidR="00A8308B">
        <w:rPr>
          <w:rFonts w:ascii="Times New Roman" w:hAnsi="Times New Roman" w:cs="Times New Roman"/>
          <w:sz w:val="24"/>
          <w:szCs w:val="24"/>
        </w:rPr>
        <w:t xml:space="preserve">the Court </w:t>
      </w:r>
      <w:r w:rsidR="00B26AE1">
        <w:rPr>
          <w:rFonts w:ascii="Times New Roman" w:hAnsi="Times New Roman" w:cs="Times New Roman"/>
          <w:sz w:val="24"/>
          <w:szCs w:val="24"/>
        </w:rPr>
        <w:t>states</w:t>
      </w:r>
      <w:r w:rsidR="00A8308B">
        <w:rPr>
          <w:rFonts w:ascii="Times New Roman" w:hAnsi="Times New Roman" w:cs="Times New Roman"/>
          <w:sz w:val="24"/>
          <w:szCs w:val="24"/>
        </w:rPr>
        <w:t xml:space="preserve">, “Fortunately, because of the second form of liability invoked in this case, Direct General’s early impressions of the case are not </w:t>
      </w:r>
      <w:r w:rsidR="00A8308B">
        <w:rPr>
          <w:rFonts w:ascii="Times New Roman" w:hAnsi="Times New Roman" w:cs="Times New Roman"/>
          <w:sz w:val="24"/>
          <w:szCs w:val="24"/>
        </w:rPr>
        <w:lastRenderedPageBreak/>
        <w:t>dispositive.” (</w:t>
      </w:r>
      <w:r w:rsidR="00A8308B">
        <w:rPr>
          <w:rFonts w:ascii="Times New Roman" w:hAnsi="Times New Roman" w:cs="Times New Roman"/>
          <w:i/>
          <w:iCs/>
          <w:sz w:val="24"/>
          <w:szCs w:val="24"/>
        </w:rPr>
        <w:t>Id</w:t>
      </w:r>
      <w:r w:rsidR="00A8308B">
        <w:rPr>
          <w:rFonts w:ascii="Times New Roman" w:hAnsi="Times New Roman" w:cs="Times New Roman"/>
          <w:sz w:val="24"/>
          <w:szCs w:val="24"/>
        </w:rPr>
        <w:t xml:space="preserve">., at 738-39) Thus, when the statute speaks of “liability,” it means not only the traditional notion of liability for the accident, but also liability in terms of being responsible for certain items of damage.  </w:t>
      </w:r>
    </w:p>
    <w:p w14:paraId="666C4DF7" w14:textId="77777777" w:rsidR="00A8308B" w:rsidRDefault="00363BAC" w:rsidP="000F38AC">
      <w:pPr>
        <w:spacing w:line="480" w:lineRule="auto"/>
        <w:ind w:firstLine="720"/>
        <w:jc w:val="both"/>
        <w:rPr>
          <w:rFonts w:ascii="Times New Roman" w:hAnsi="Times New Roman" w:cs="Times New Roman"/>
          <w:iCs/>
          <w:sz w:val="24"/>
          <w:szCs w:val="24"/>
        </w:rPr>
      </w:pPr>
      <w:r>
        <w:rPr>
          <w:rFonts w:ascii="Times New Roman" w:hAnsi="Times New Roman" w:cs="Times New Roman"/>
          <w:sz w:val="24"/>
          <w:szCs w:val="24"/>
        </w:rPr>
        <w:t>If there is a true argument regarding the ex</w:t>
      </w:r>
      <w:r>
        <w:rPr>
          <w:rFonts w:ascii="Times New Roman" w:hAnsi="Times New Roman" w:cs="Times New Roman"/>
          <w:sz w:val="24"/>
          <w:szCs w:val="24"/>
        </w:rPr>
        <w:t>tent, nature of or causal relation of injuries to the accident in question, the insurer has every right to investigate those issues before offering to settle.</w:t>
      </w:r>
      <w:r w:rsidR="00824ACF">
        <w:rPr>
          <w:rFonts w:ascii="Times New Roman" w:hAnsi="Times New Roman" w:cs="Times New Roman"/>
          <w:sz w:val="24"/>
          <w:szCs w:val="24"/>
        </w:rPr>
        <w:t xml:space="preserve"> </w:t>
      </w:r>
      <w:r>
        <w:rPr>
          <w:rFonts w:ascii="Times New Roman" w:hAnsi="Times New Roman" w:cs="Times New Roman"/>
          <w:sz w:val="24"/>
          <w:szCs w:val="24"/>
        </w:rPr>
        <w:t xml:space="preserve">Plaintiffs, who have failed to provide sufficient documentation of injuries or damages or refuse </w:t>
      </w:r>
      <w:r>
        <w:rPr>
          <w:rFonts w:ascii="Times New Roman" w:hAnsi="Times New Roman" w:cs="Times New Roman"/>
          <w:sz w:val="24"/>
          <w:szCs w:val="24"/>
        </w:rPr>
        <w:t xml:space="preserve">to provide medical records pre-dating the accident to prove that the conditions are causally related, </w:t>
      </w:r>
      <w:r w:rsidR="000F38AC">
        <w:rPr>
          <w:rFonts w:ascii="Times New Roman" w:hAnsi="Times New Roman" w:cs="Times New Roman"/>
          <w:sz w:val="24"/>
          <w:szCs w:val="24"/>
        </w:rPr>
        <w:t xml:space="preserve">cannot enforce the </w:t>
      </w:r>
      <w:proofErr w:type="spellStart"/>
      <w:r w:rsidR="000F38AC">
        <w:rPr>
          <w:rFonts w:ascii="Times New Roman" w:hAnsi="Times New Roman" w:cs="Times New Roman"/>
          <w:sz w:val="24"/>
          <w:szCs w:val="24"/>
        </w:rPr>
        <w:t>UCSPA</w:t>
      </w:r>
      <w:proofErr w:type="spellEnd"/>
      <w:r w:rsidR="000F38AC">
        <w:rPr>
          <w:rFonts w:ascii="Times New Roman" w:hAnsi="Times New Roman" w:cs="Times New Roman"/>
          <w:sz w:val="24"/>
          <w:szCs w:val="24"/>
        </w:rPr>
        <w:t>, because they have not complied with the terms of the policy. That would also be true in regard to KRS 304.12-235.</w:t>
      </w:r>
      <w:r w:rsidR="000E1A08">
        <w:rPr>
          <w:rFonts w:ascii="Times New Roman" w:hAnsi="Times New Roman" w:cs="Times New Roman"/>
          <w:sz w:val="24"/>
          <w:szCs w:val="24"/>
        </w:rPr>
        <w:t xml:space="preserve">  While</w:t>
      </w:r>
      <w:r w:rsidR="000E1A08">
        <w:rPr>
          <w:rFonts w:ascii="Times New Roman" w:hAnsi="Times New Roman" w:cs="Times New Roman"/>
          <w:i/>
          <w:iCs/>
          <w:sz w:val="24"/>
          <w:szCs w:val="24"/>
        </w:rPr>
        <w:t xml:space="preserve"> Holloway</w:t>
      </w:r>
      <w:r w:rsidR="000E1A08">
        <w:rPr>
          <w:rFonts w:ascii="Times New Roman" w:hAnsi="Times New Roman" w:cs="Times New Roman"/>
          <w:iCs/>
          <w:sz w:val="24"/>
          <w:szCs w:val="24"/>
        </w:rPr>
        <w:t xml:space="preserve"> was a third-party claim, and dealt exclusively with the </w:t>
      </w:r>
      <w:proofErr w:type="spellStart"/>
      <w:r w:rsidR="000E1A08">
        <w:rPr>
          <w:rFonts w:ascii="Times New Roman" w:hAnsi="Times New Roman" w:cs="Times New Roman"/>
          <w:iCs/>
          <w:sz w:val="24"/>
          <w:szCs w:val="24"/>
        </w:rPr>
        <w:t>UCSPA</w:t>
      </w:r>
      <w:proofErr w:type="spellEnd"/>
      <w:r w:rsidR="000E1A08">
        <w:rPr>
          <w:rFonts w:ascii="Times New Roman" w:hAnsi="Times New Roman" w:cs="Times New Roman"/>
          <w:iCs/>
          <w:sz w:val="24"/>
          <w:szCs w:val="24"/>
        </w:rPr>
        <w:t>, the Court’s analysis of the meaning of the section</w:t>
      </w:r>
      <w:r w:rsidR="00B26AE1">
        <w:rPr>
          <w:rFonts w:ascii="Times New Roman" w:hAnsi="Times New Roman" w:cs="Times New Roman"/>
          <w:iCs/>
          <w:sz w:val="24"/>
          <w:szCs w:val="24"/>
        </w:rPr>
        <w:t>s</w:t>
      </w:r>
      <w:r w:rsidR="000E1A08">
        <w:rPr>
          <w:rFonts w:ascii="Times New Roman" w:hAnsi="Times New Roman" w:cs="Times New Roman"/>
          <w:iCs/>
          <w:sz w:val="24"/>
          <w:szCs w:val="24"/>
        </w:rPr>
        <w:t xml:space="preserve"> would certainly hold true in a first party action.</w:t>
      </w:r>
    </w:p>
    <w:p w14:paraId="63F7F8E3" w14:textId="4D2C6919" w:rsidR="000E1A08" w:rsidRDefault="00363BAC" w:rsidP="000E1A08">
      <w:pPr>
        <w:spacing w:line="480" w:lineRule="auto"/>
        <w:jc w:val="both"/>
        <w:rPr>
          <w:rFonts w:ascii="Times New Roman" w:hAnsi="Times New Roman" w:cs="Times New Roman"/>
          <w:sz w:val="24"/>
          <w:szCs w:val="24"/>
        </w:rPr>
      </w:pPr>
      <w:r>
        <w:rPr>
          <w:rFonts w:ascii="Times New Roman" w:hAnsi="Times New Roman" w:cs="Times New Roman"/>
          <w:sz w:val="24"/>
          <w:szCs w:val="24"/>
        </w:rPr>
        <w:tab/>
        <w:t>In order to assure that our carriers are complying with the meaning and intent of the s</w:t>
      </w:r>
      <w:r>
        <w:rPr>
          <w:rFonts w:ascii="Times New Roman" w:hAnsi="Times New Roman" w:cs="Times New Roman"/>
          <w:sz w:val="24"/>
          <w:szCs w:val="24"/>
        </w:rPr>
        <w:t>tatute</w:t>
      </w:r>
      <w:r w:rsidR="00547F1A">
        <w:rPr>
          <w:rFonts w:ascii="Times New Roman" w:hAnsi="Times New Roman" w:cs="Times New Roman"/>
          <w:sz w:val="24"/>
          <w:szCs w:val="24"/>
        </w:rPr>
        <w:t>,</w:t>
      </w:r>
      <w:r w:rsidR="00B26AE1">
        <w:rPr>
          <w:rFonts w:ascii="Times New Roman" w:hAnsi="Times New Roman" w:cs="Times New Roman"/>
          <w:sz w:val="24"/>
          <w:szCs w:val="24"/>
        </w:rPr>
        <w:t xml:space="preserve"> it</w:t>
      </w:r>
      <w:r>
        <w:rPr>
          <w:rFonts w:ascii="Times New Roman" w:hAnsi="Times New Roman" w:cs="Times New Roman"/>
          <w:sz w:val="24"/>
          <w:szCs w:val="24"/>
        </w:rPr>
        <w:t xml:space="preserve"> is important that any response to such a demand reference any factual arguments regarding legal liability as well as any unknown factors relating to plaintiff’s damages and injuries. Once those items are rela</w:t>
      </w:r>
      <w:r w:rsidR="00052337">
        <w:rPr>
          <w:rFonts w:ascii="Times New Roman" w:hAnsi="Times New Roman" w:cs="Times New Roman"/>
          <w:sz w:val="24"/>
          <w:szCs w:val="24"/>
        </w:rPr>
        <w:t>yed</w:t>
      </w:r>
      <w:r>
        <w:rPr>
          <w:rFonts w:ascii="Times New Roman" w:hAnsi="Times New Roman" w:cs="Times New Roman"/>
          <w:sz w:val="24"/>
          <w:szCs w:val="24"/>
        </w:rPr>
        <w:t xml:space="preserve"> to plaintiff in response to these</w:t>
      </w:r>
      <w:r>
        <w:rPr>
          <w:rFonts w:ascii="Times New Roman" w:hAnsi="Times New Roman" w:cs="Times New Roman"/>
          <w:sz w:val="24"/>
          <w:szCs w:val="24"/>
        </w:rPr>
        <w:t xml:space="preserve"> timed demands</w:t>
      </w:r>
      <w:r w:rsidR="00052337">
        <w:rPr>
          <w:rFonts w:ascii="Times New Roman" w:hAnsi="Times New Roman" w:cs="Times New Roman"/>
          <w:sz w:val="24"/>
          <w:szCs w:val="24"/>
        </w:rPr>
        <w:t>,</w:t>
      </w:r>
      <w:r>
        <w:rPr>
          <w:rFonts w:ascii="Times New Roman" w:hAnsi="Times New Roman" w:cs="Times New Roman"/>
          <w:sz w:val="24"/>
          <w:szCs w:val="24"/>
        </w:rPr>
        <w:t xml:space="preserve"> I do not believe any potential claim under the </w:t>
      </w:r>
      <w:proofErr w:type="spellStart"/>
      <w:r>
        <w:rPr>
          <w:rFonts w:ascii="Times New Roman" w:hAnsi="Times New Roman" w:cs="Times New Roman"/>
          <w:sz w:val="24"/>
          <w:szCs w:val="24"/>
        </w:rPr>
        <w:t>UCSPA</w:t>
      </w:r>
      <w:proofErr w:type="spellEnd"/>
      <w:r>
        <w:rPr>
          <w:rFonts w:ascii="Times New Roman" w:hAnsi="Times New Roman" w:cs="Times New Roman"/>
          <w:sz w:val="24"/>
          <w:szCs w:val="24"/>
        </w:rPr>
        <w:t xml:space="preserve"> or KRS 304.12 – 235 </w:t>
      </w:r>
      <w:r w:rsidR="00B26AE1">
        <w:rPr>
          <w:rFonts w:ascii="Times New Roman" w:hAnsi="Times New Roman" w:cs="Times New Roman"/>
          <w:sz w:val="24"/>
          <w:szCs w:val="24"/>
        </w:rPr>
        <w:t xml:space="preserve">would </w:t>
      </w:r>
      <w:r>
        <w:rPr>
          <w:rFonts w:ascii="Times New Roman" w:hAnsi="Times New Roman" w:cs="Times New Roman"/>
          <w:sz w:val="24"/>
          <w:szCs w:val="24"/>
        </w:rPr>
        <w:t>be cognizable.</w:t>
      </w:r>
      <w:r w:rsidR="00B26AE1">
        <w:rPr>
          <w:rFonts w:ascii="Times New Roman" w:hAnsi="Times New Roman" w:cs="Times New Roman"/>
          <w:sz w:val="24"/>
          <w:szCs w:val="24"/>
        </w:rPr>
        <w:t xml:space="preserve">  And, if they are truly just misinformed, a quality attorney would begin providing information designed to fill those gaps.  What I typically see from a certain subset of counsel, is additional rude, </w:t>
      </w:r>
      <w:r w:rsidR="003471D8">
        <w:rPr>
          <w:rFonts w:ascii="Times New Roman" w:hAnsi="Times New Roman" w:cs="Times New Roman"/>
          <w:sz w:val="24"/>
          <w:szCs w:val="24"/>
        </w:rPr>
        <w:t>unprofessional,</w:t>
      </w:r>
      <w:r w:rsidR="00B26AE1">
        <w:rPr>
          <w:rFonts w:ascii="Times New Roman" w:hAnsi="Times New Roman" w:cs="Times New Roman"/>
          <w:sz w:val="24"/>
          <w:szCs w:val="24"/>
        </w:rPr>
        <w:t xml:space="preserve"> and entirely unhelpful threats.</w:t>
      </w:r>
    </w:p>
    <w:p w14:paraId="3B13F57B" w14:textId="77777777" w:rsidR="007447FB" w:rsidRDefault="00363BAC" w:rsidP="007447F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Complaint</w:t>
      </w:r>
    </w:p>
    <w:p w14:paraId="07BD416F" w14:textId="77777777" w:rsidR="00963316" w:rsidRDefault="00363BAC" w:rsidP="009633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7447FB">
        <w:rPr>
          <w:rFonts w:ascii="Times New Roman" w:hAnsi="Times New Roman" w:cs="Times New Roman"/>
          <w:sz w:val="24"/>
          <w:szCs w:val="24"/>
        </w:rPr>
        <w:t>t has become commonplace for plaintiffs to include reference to violations of various motor vehicle statutes within their</w:t>
      </w:r>
      <w:r>
        <w:rPr>
          <w:rFonts w:ascii="Times New Roman" w:hAnsi="Times New Roman" w:cs="Times New Roman"/>
          <w:sz w:val="24"/>
          <w:szCs w:val="24"/>
        </w:rPr>
        <w:t xml:space="preserve"> Complaint. Most of these statutes reference general duties for </w:t>
      </w:r>
      <w:r>
        <w:rPr>
          <w:rFonts w:ascii="Times New Roman" w:hAnsi="Times New Roman" w:cs="Times New Roman"/>
          <w:sz w:val="24"/>
          <w:szCs w:val="24"/>
        </w:rPr>
        <w:lastRenderedPageBreak/>
        <w:t>those operating motor vehicles and do not apply specifically to the accidents which gave rise to the Complaint. These statutory violations are included as under Kentucky law the violation of t</w:t>
      </w:r>
      <w:r>
        <w:rPr>
          <w:rFonts w:ascii="Times New Roman" w:hAnsi="Times New Roman" w:cs="Times New Roman"/>
          <w:sz w:val="24"/>
          <w:szCs w:val="24"/>
        </w:rPr>
        <w:t xml:space="preserve">he statute intended for the protection of persons in the shoes of the plaintiff would </w:t>
      </w:r>
      <w:r w:rsidR="00B26AE1">
        <w:rPr>
          <w:rFonts w:ascii="Times New Roman" w:hAnsi="Times New Roman" w:cs="Times New Roman"/>
          <w:sz w:val="24"/>
          <w:szCs w:val="24"/>
        </w:rPr>
        <w:t>suffice for a finding of</w:t>
      </w:r>
      <w:r>
        <w:rPr>
          <w:rFonts w:ascii="Times New Roman" w:hAnsi="Times New Roman" w:cs="Times New Roman"/>
          <w:sz w:val="24"/>
          <w:szCs w:val="24"/>
        </w:rPr>
        <w:t xml:space="preserve"> negligence per se. </w:t>
      </w:r>
      <w:r w:rsidR="00B26AE1">
        <w:rPr>
          <w:rFonts w:ascii="Times New Roman" w:hAnsi="Times New Roman" w:cs="Times New Roman"/>
          <w:sz w:val="24"/>
          <w:szCs w:val="24"/>
        </w:rPr>
        <w:t>Although none of us want that in our cases, it really has very little teeth. B</w:t>
      </w:r>
      <w:r>
        <w:rPr>
          <w:rFonts w:ascii="Times New Roman" w:hAnsi="Times New Roman" w:cs="Times New Roman"/>
          <w:sz w:val="24"/>
          <w:szCs w:val="24"/>
        </w:rPr>
        <w:t>ecause we are a pure comparative fault jurisdict</w:t>
      </w:r>
      <w:r>
        <w:rPr>
          <w:rFonts w:ascii="Times New Roman" w:hAnsi="Times New Roman" w:cs="Times New Roman"/>
          <w:sz w:val="24"/>
          <w:szCs w:val="24"/>
        </w:rPr>
        <w:t xml:space="preserve">ion, a finding of a violation would provide the plaintiff nothing more than a guarantee of a 1% finding of fault on the defendant. As such nothing really changes based on these averments in the </w:t>
      </w:r>
      <w:r w:rsidR="00DF19BB">
        <w:rPr>
          <w:rFonts w:ascii="Times New Roman" w:hAnsi="Times New Roman" w:cs="Times New Roman"/>
          <w:sz w:val="24"/>
          <w:szCs w:val="24"/>
        </w:rPr>
        <w:t>C</w:t>
      </w:r>
      <w:r>
        <w:rPr>
          <w:rFonts w:ascii="Times New Roman" w:hAnsi="Times New Roman" w:cs="Times New Roman"/>
          <w:sz w:val="24"/>
          <w:szCs w:val="24"/>
        </w:rPr>
        <w:t>omplaint</w:t>
      </w:r>
      <w:r w:rsidR="00B64507">
        <w:rPr>
          <w:rFonts w:ascii="Times New Roman" w:hAnsi="Times New Roman" w:cs="Times New Roman"/>
          <w:sz w:val="24"/>
          <w:szCs w:val="24"/>
        </w:rPr>
        <w:t>, especially in cases where liability may look reasonably clear.</w:t>
      </w:r>
      <w:r w:rsidR="00DF19BB">
        <w:rPr>
          <w:rFonts w:ascii="Times New Roman" w:hAnsi="Times New Roman" w:cs="Times New Roman"/>
          <w:sz w:val="24"/>
          <w:szCs w:val="24"/>
        </w:rPr>
        <w:t xml:space="preserve"> Other than this tactic, I have not seen any other unusual items contained in plaintiff’s Complaint.</w:t>
      </w:r>
    </w:p>
    <w:p w14:paraId="0283F953" w14:textId="77777777" w:rsidR="00DF19BB" w:rsidRDefault="00363BAC" w:rsidP="00DF19B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Endless Discovery</w:t>
      </w:r>
    </w:p>
    <w:p w14:paraId="1C0088E5" w14:textId="77777777" w:rsidR="00DF19BB" w:rsidRDefault="00363BAC" w:rsidP="00DF19BB">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much of plaintiff’s playbook is only slightly </w:t>
      </w:r>
      <w:r w:rsidR="00B64507">
        <w:rPr>
          <w:rFonts w:ascii="Times New Roman" w:hAnsi="Times New Roman" w:cs="Times New Roman"/>
          <w:sz w:val="24"/>
          <w:szCs w:val="24"/>
        </w:rPr>
        <w:t>annoying,</w:t>
      </w:r>
      <w:r>
        <w:rPr>
          <w:rFonts w:ascii="Times New Roman" w:hAnsi="Times New Roman" w:cs="Times New Roman"/>
          <w:sz w:val="24"/>
          <w:szCs w:val="24"/>
        </w:rPr>
        <w:t xml:space="preserve"> their use of discovery, specifically written discovery, is certa</w:t>
      </w:r>
      <w:r>
        <w:rPr>
          <w:rFonts w:ascii="Times New Roman" w:hAnsi="Times New Roman" w:cs="Times New Roman"/>
          <w:sz w:val="24"/>
          <w:szCs w:val="24"/>
        </w:rPr>
        <w:t>inly the most frustrating. It appears that plaintiffs believe that there is no end to the breadth of discovery allowed in a civil action. The use of endless requests for admission as well as irrelevant and ridiculous interrogatories and requests for produc</w:t>
      </w:r>
      <w:r>
        <w:rPr>
          <w:rFonts w:ascii="Times New Roman" w:hAnsi="Times New Roman" w:cs="Times New Roman"/>
          <w:sz w:val="24"/>
          <w:szCs w:val="24"/>
        </w:rPr>
        <w:t>tion of documents</w:t>
      </w:r>
      <w:r w:rsidR="00D87FEF">
        <w:rPr>
          <w:rFonts w:ascii="Times New Roman" w:hAnsi="Times New Roman" w:cs="Times New Roman"/>
          <w:sz w:val="24"/>
          <w:szCs w:val="24"/>
        </w:rPr>
        <w:t xml:space="preserve"> seems to have no end. As a </w:t>
      </w:r>
      <w:r w:rsidR="00E634C7">
        <w:rPr>
          <w:rFonts w:ascii="Times New Roman" w:hAnsi="Times New Roman" w:cs="Times New Roman"/>
          <w:sz w:val="24"/>
          <w:szCs w:val="24"/>
        </w:rPr>
        <w:t>result,</w:t>
      </w:r>
      <w:r w:rsidR="00D87FEF">
        <w:rPr>
          <w:rFonts w:ascii="Times New Roman" w:hAnsi="Times New Roman" w:cs="Times New Roman"/>
          <w:sz w:val="24"/>
          <w:szCs w:val="24"/>
        </w:rPr>
        <w:t xml:space="preserve"> many of us have been left to try and figure out how to properly respond without resorting to violence. Unfortunately, the only way to discuss this is to use examples that we have found in our practice. The following is one interrogatory that we have seen on multiple occasions:</w:t>
      </w:r>
    </w:p>
    <w:p w14:paraId="5B908552" w14:textId="77777777" w:rsidR="00D87FEF" w:rsidRPr="00DF19BB" w:rsidRDefault="00363BAC" w:rsidP="00D87FEF">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INTERROGATORY NO. 1</w:t>
      </w:r>
      <w:r>
        <w:rPr>
          <w:rFonts w:ascii="Times New Roman" w:hAnsi="Times New Roman" w:cs="Times New Roman"/>
          <w:sz w:val="24"/>
          <w:szCs w:val="24"/>
        </w:rPr>
        <w:tab/>
        <w:t xml:space="preserve">State the defendant’s contention with respect to all lost wages and medical bills that the plaintiff has submitted in support of her </w:t>
      </w:r>
      <w:proofErr w:type="spellStart"/>
      <w:r>
        <w:rPr>
          <w:rFonts w:ascii="Times New Roman" w:hAnsi="Times New Roman" w:cs="Times New Roman"/>
          <w:sz w:val="24"/>
          <w:szCs w:val="24"/>
        </w:rPr>
        <w:t>UIM</w:t>
      </w:r>
      <w:proofErr w:type="spellEnd"/>
      <w:r>
        <w:rPr>
          <w:rFonts w:ascii="Times New Roman" w:hAnsi="Times New Roman" w:cs="Times New Roman"/>
          <w:sz w:val="24"/>
          <w:szCs w:val="24"/>
        </w:rPr>
        <w:t xml:space="preserve"> claim, by itemizing all</w:t>
      </w:r>
      <w:r>
        <w:rPr>
          <w:rFonts w:ascii="Times New Roman" w:hAnsi="Times New Roman" w:cs="Times New Roman"/>
          <w:sz w:val="24"/>
          <w:szCs w:val="24"/>
        </w:rPr>
        <w:t xml:space="preserve"> such wage loss and medical bills into the following categories:</w:t>
      </w:r>
    </w:p>
    <w:p w14:paraId="52577A3F" w14:textId="77777777" w:rsidR="00D87FEF" w:rsidRDefault="00363BAC" w:rsidP="00A00C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 all wage loss and medical bills submitted by the plaintiff that the defendant contends were incurred by the plaintiff and caused by the collision at issue;</w:t>
      </w:r>
    </w:p>
    <w:p w14:paraId="00F9AC77" w14:textId="77777777" w:rsidR="00D87FEF" w:rsidRDefault="00363BAC" w:rsidP="00A00C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 all wage loss and medical</w:t>
      </w:r>
      <w:r>
        <w:rPr>
          <w:rFonts w:ascii="Times New Roman" w:hAnsi="Times New Roman" w:cs="Times New Roman"/>
          <w:sz w:val="24"/>
          <w:szCs w:val="24"/>
        </w:rPr>
        <w:t xml:space="preserve"> bills submitted by the plaintiff that the defendant contends were incurred by the plaintiff but were not caused by the collision at issue;</w:t>
      </w:r>
    </w:p>
    <w:p w14:paraId="055A0216" w14:textId="77777777" w:rsidR="00D87FEF" w:rsidRDefault="00363BAC" w:rsidP="00A00C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 all wage loss and medical bills submitted by the plaintiff that the defendant contends were incurred by the pla</w:t>
      </w:r>
      <w:r>
        <w:rPr>
          <w:rFonts w:ascii="Times New Roman" w:hAnsi="Times New Roman" w:cs="Times New Roman"/>
          <w:sz w:val="24"/>
          <w:szCs w:val="24"/>
        </w:rPr>
        <w:t>intiff but for which the defendant is not yet able to make any causation determination;</w:t>
      </w:r>
    </w:p>
    <w:p w14:paraId="690EC9F3" w14:textId="77777777" w:rsidR="00D87FEF" w:rsidRDefault="00363BAC" w:rsidP="00A00C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 all wage loss and medical bills submitted by the plaintiff that the defendant contends were incurred by the plaintiff and for which the defendant can make a causat</w:t>
      </w:r>
      <w:r>
        <w:rPr>
          <w:rFonts w:ascii="Times New Roman" w:hAnsi="Times New Roman" w:cs="Times New Roman"/>
          <w:sz w:val="24"/>
          <w:szCs w:val="24"/>
        </w:rPr>
        <w:t>ion determination, but has not yet made any causation determination;</w:t>
      </w:r>
    </w:p>
    <w:p w14:paraId="7766714F" w14:textId="77777777" w:rsidR="00D87FEF" w:rsidRDefault="00363BAC" w:rsidP="00A00C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(E) all wage loss and medical bills submitted by the plaintiff which the defendant contends were not incurred by the plaintiff;</w:t>
      </w:r>
    </w:p>
    <w:p w14:paraId="3015D238" w14:textId="77777777" w:rsidR="00D87FEF" w:rsidRDefault="00363BAC" w:rsidP="00A00CB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 all wage loss and medical bills submitted by the </w:t>
      </w:r>
      <w:r>
        <w:rPr>
          <w:rFonts w:ascii="Times New Roman" w:hAnsi="Times New Roman" w:cs="Times New Roman"/>
          <w:sz w:val="24"/>
          <w:szCs w:val="24"/>
        </w:rPr>
        <w:t>plaintiff for which the defendant is not yet able to make any determination as to whether he contends they were incurred by the plaintiff, and</w:t>
      </w:r>
      <w:r w:rsidR="00A00CB1">
        <w:rPr>
          <w:rFonts w:ascii="Times New Roman" w:hAnsi="Times New Roman" w:cs="Times New Roman"/>
          <w:sz w:val="24"/>
          <w:szCs w:val="24"/>
        </w:rPr>
        <w:t>,</w:t>
      </w:r>
    </w:p>
    <w:p w14:paraId="502E852F" w14:textId="77777777" w:rsidR="007447FB" w:rsidRDefault="00363BAC" w:rsidP="007447FB">
      <w:pPr>
        <w:spacing w:line="480" w:lineRule="auto"/>
        <w:jc w:val="both"/>
        <w:rPr>
          <w:rFonts w:ascii="Times New Roman" w:hAnsi="Times New Roman" w:cs="Times New Roman"/>
          <w:sz w:val="24"/>
          <w:szCs w:val="24"/>
        </w:rPr>
      </w:pPr>
      <w:r>
        <w:rPr>
          <w:rFonts w:ascii="Times New Roman" w:hAnsi="Times New Roman" w:cs="Times New Roman"/>
          <w:sz w:val="24"/>
          <w:szCs w:val="24"/>
        </w:rPr>
        <w:tab/>
        <w:t>(G) all wage loss and medical bills submitted by the plaintiff for which the defendant is able to make a determ</w:t>
      </w:r>
      <w:r>
        <w:rPr>
          <w:rFonts w:ascii="Times New Roman" w:hAnsi="Times New Roman" w:cs="Times New Roman"/>
          <w:sz w:val="24"/>
          <w:szCs w:val="24"/>
        </w:rPr>
        <w:t>ination as to whether they were incurred by the plaintiff, but the defendant has not made a determination as to whether he contends they were incurred by the plaintiff.</w:t>
      </w:r>
    </w:p>
    <w:p w14:paraId="23B849EC" w14:textId="77777777" w:rsidR="00A00CB1" w:rsidRDefault="00A00CB1" w:rsidP="007447FB">
      <w:pPr>
        <w:spacing w:line="480" w:lineRule="auto"/>
        <w:jc w:val="both"/>
        <w:rPr>
          <w:rFonts w:ascii="Times New Roman" w:hAnsi="Times New Roman" w:cs="Times New Roman"/>
          <w:sz w:val="24"/>
          <w:szCs w:val="24"/>
        </w:rPr>
      </w:pPr>
    </w:p>
    <w:p w14:paraId="6FF8A126" w14:textId="3BC8D021" w:rsidR="00D87FEF" w:rsidRDefault="00363BAC" w:rsidP="00187F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Please note that the above interrogatory was filed with the plaintiff’s complaint making the phrase “all lost wages and medical bills that the plaintiff </w:t>
      </w:r>
      <w:r w:rsidRPr="00B64507">
        <w:rPr>
          <w:rFonts w:ascii="Times New Roman" w:hAnsi="Times New Roman" w:cs="Times New Roman"/>
          <w:b/>
          <w:bCs/>
          <w:sz w:val="24"/>
          <w:szCs w:val="24"/>
        </w:rPr>
        <w:t>has submitted</w:t>
      </w:r>
      <w:r>
        <w:rPr>
          <w:rFonts w:ascii="Times New Roman" w:hAnsi="Times New Roman" w:cs="Times New Roman"/>
          <w:sz w:val="24"/>
          <w:szCs w:val="24"/>
        </w:rPr>
        <w:t xml:space="preserve"> in support of her underinsured motorist claim,” extremely difficult to understand. To be </w:t>
      </w:r>
      <w:r>
        <w:rPr>
          <w:rFonts w:ascii="Times New Roman" w:hAnsi="Times New Roman" w:cs="Times New Roman"/>
          <w:sz w:val="24"/>
          <w:szCs w:val="24"/>
        </w:rPr>
        <w:t>clear</w:t>
      </w:r>
      <w:r w:rsidR="00547F1A">
        <w:rPr>
          <w:rFonts w:ascii="Times New Roman" w:hAnsi="Times New Roman" w:cs="Times New Roman"/>
          <w:sz w:val="24"/>
          <w:szCs w:val="24"/>
        </w:rPr>
        <w:t>,</w:t>
      </w:r>
      <w:r>
        <w:rPr>
          <w:rFonts w:ascii="Times New Roman" w:hAnsi="Times New Roman" w:cs="Times New Roman"/>
          <w:sz w:val="24"/>
          <w:szCs w:val="24"/>
        </w:rPr>
        <w:t xml:space="preserve"> other than claims submitted for the purpose of no-fault, no documentation of lost wages or medical bills have been </w:t>
      </w:r>
      <w:r>
        <w:rPr>
          <w:rFonts w:ascii="Times New Roman" w:hAnsi="Times New Roman" w:cs="Times New Roman"/>
          <w:sz w:val="24"/>
          <w:szCs w:val="24"/>
        </w:rPr>
        <w:lastRenderedPageBreak/>
        <w:t xml:space="preserve">received. We have </w:t>
      </w:r>
      <w:r w:rsidR="00B64507">
        <w:rPr>
          <w:rFonts w:ascii="Times New Roman" w:hAnsi="Times New Roman" w:cs="Times New Roman"/>
          <w:sz w:val="24"/>
          <w:szCs w:val="24"/>
        </w:rPr>
        <w:t xml:space="preserve">also </w:t>
      </w:r>
      <w:r>
        <w:rPr>
          <w:rFonts w:ascii="Times New Roman" w:hAnsi="Times New Roman" w:cs="Times New Roman"/>
          <w:sz w:val="24"/>
          <w:szCs w:val="24"/>
        </w:rPr>
        <w:t>seen this interrogatory sent later in litigation after thousands of pages of medical records, bills and wage lo</w:t>
      </w:r>
      <w:r>
        <w:rPr>
          <w:rFonts w:ascii="Times New Roman" w:hAnsi="Times New Roman" w:cs="Times New Roman"/>
          <w:sz w:val="24"/>
          <w:szCs w:val="24"/>
        </w:rPr>
        <w:t>ss records have been received. Obviously if one were to attempt to provide a response to the above interrogatory, in a case where a multitude of records had been received, it would be an extremely difficult task. Using our Civil Rules, however, I do not be</w:t>
      </w:r>
      <w:r>
        <w:rPr>
          <w:rFonts w:ascii="Times New Roman" w:hAnsi="Times New Roman" w:cs="Times New Roman"/>
          <w:sz w:val="24"/>
          <w:szCs w:val="24"/>
        </w:rPr>
        <w:t>lieve we are required to do so.</w:t>
      </w:r>
    </w:p>
    <w:p w14:paraId="304B1469" w14:textId="77777777" w:rsidR="00416111" w:rsidRDefault="00363BAC" w:rsidP="007447F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87FEB">
        <w:rPr>
          <w:rFonts w:ascii="Times New Roman" w:hAnsi="Times New Roman" w:cs="Times New Roman"/>
          <w:sz w:val="24"/>
          <w:szCs w:val="24"/>
        </w:rPr>
        <w:t xml:space="preserve">It is certainly true that at trial evidence may be presented that suggests certain medical conditions and treatment may not be related to the accident in question. However, during the discovery phase </w:t>
      </w:r>
      <w:r w:rsidR="00B64507">
        <w:rPr>
          <w:rFonts w:ascii="Times New Roman" w:hAnsi="Times New Roman" w:cs="Times New Roman"/>
          <w:sz w:val="24"/>
          <w:szCs w:val="24"/>
        </w:rPr>
        <w:t xml:space="preserve">it </w:t>
      </w:r>
      <w:r w:rsidR="00187FEB">
        <w:rPr>
          <w:rFonts w:ascii="Times New Roman" w:hAnsi="Times New Roman" w:cs="Times New Roman"/>
          <w:sz w:val="24"/>
          <w:szCs w:val="24"/>
        </w:rPr>
        <w:t>is normally difficult to make</w:t>
      </w:r>
      <w:r w:rsidR="00B64507">
        <w:rPr>
          <w:rFonts w:ascii="Times New Roman" w:hAnsi="Times New Roman" w:cs="Times New Roman"/>
          <w:sz w:val="24"/>
          <w:szCs w:val="24"/>
        </w:rPr>
        <w:t xml:space="preserve"> any definitive determinations</w:t>
      </w:r>
      <w:r w:rsidR="00187FEB">
        <w:rPr>
          <w:rFonts w:ascii="Times New Roman" w:hAnsi="Times New Roman" w:cs="Times New Roman"/>
          <w:sz w:val="24"/>
          <w:szCs w:val="24"/>
        </w:rPr>
        <w:t xml:space="preserve">. It is the job of counsel to identify questionable items and then work with experts or others to determine what is objectionable </w:t>
      </w:r>
      <w:r w:rsidR="00B64507">
        <w:rPr>
          <w:rFonts w:ascii="Times New Roman" w:hAnsi="Times New Roman" w:cs="Times New Roman"/>
          <w:sz w:val="24"/>
          <w:szCs w:val="24"/>
        </w:rPr>
        <w:t>and</w:t>
      </w:r>
      <w:r w:rsidR="00187FEB">
        <w:rPr>
          <w:rFonts w:ascii="Times New Roman" w:hAnsi="Times New Roman" w:cs="Times New Roman"/>
          <w:sz w:val="24"/>
          <w:szCs w:val="24"/>
        </w:rPr>
        <w:t xml:space="preserve"> what is related. As such, the initial response to all sections of th</w:t>
      </w:r>
      <w:r w:rsidR="00B64507">
        <w:rPr>
          <w:rFonts w:ascii="Times New Roman" w:hAnsi="Times New Roman" w:cs="Times New Roman"/>
          <w:sz w:val="24"/>
          <w:szCs w:val="24"/>
        </w:rPr>
        <w:t>is</w:t>
      </w:r>
      <w:r w:rsidR="00187FEB">
        <w:rPr>
          <w:rFonts w:ascii="Times New Roman" w:hAnsi="Times New Roman" w:cs="Times New Roman"/>
          <w:sz w:val="24"/>
          <w:szCs w:val="24"/>
        </w:rPr>
        <w:t xml:space="preserve"> interrogatory is an objection based on the fact that it requests information protected by the work product doctrine. Although it is arguable that a portion of the request is outside the scope of the civil rules, I try to avoid that objection. After stating my initial </w:t>
      </w:r>
      <w:r w:rsidR="00E634C7">
        <w:rPr>
          <w:rFonts w:ascii="Times New Roman" w:hAnsi="Times New Roman" w:cs="Times New Roman"/>
          <w:sz w:val="24"/>
          <w:szCs w:val="24"/>
        </w:rPr>
        <w:t>objection,</w:t>
      </w:r>
      <w:r w:rsidR="00187FEB">
        <w:rPr>
          <w:rFonts w:ascii="Times New Roman" w:hAnsi="Times New Roman" w:cs="Times New Roman"/>
          <w:sz w:val="24"/>
          <w:szCs w:val="24"/>
        </w:rPr>
        <w:t xml:space="preserve"> I normally continue, subject to the objection, noting that the interrogatory calls for an expert opinion and that I’m not qualified to make that determination. A sample response might read as follows:</w:t>
      </w:r>
    </w:p>
    <w:p w14:paraId="4B5ABF4F" w14:textId="77777777" w:rsidR="00187FEB" w:rsidRDefault="00363BAC" w:rsidP="00DA78E6">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D</w:t>
      </w:r>
      <w:r w:rsidR="00DA78E6">
        <w:rPr>
          <w:rFonts w:ascii="Times New Roman" w:hAnsi="Times New Roman" w:cs="Times New Roman"/>
          <w:sz w:val="24"/>
          <w:szCs w:val="24"/>
        </w:rPr>
        <w:t>efendant objects to the above interrogatory to the extent it requests information protected by the work product doctrine. Without waiving said objection and subject to the same,</w:t>
      </w:r>
      <w:r>
        <w:rPr>
          <w:rFonts w:ascii="Times New Roman" w:hAnsi="Times New Roman" w:cs="Times New Roman"/>
          <w:sz w:val="24"/>
          <w:szCs w:val="24"/>
        </w:rPr>
        <w:t xml:space="preserve"> defendant states that he is not a medical expert and therefore cannot make a conclusive determination regarding the reaso</w:t>
      </w:r>
      <w:r>
        <w:rPr>
          <w:rFonts w:ascii="Times New Roman" w:hAnsi="Times New Roman" w:cs="Times New Roman"/>
          <w:sz w:val="24"/>
          <w:szCs w:val="24"/>
        </w:rPr>
        <w:t>nableness or necessity of any medical bills, certainly without reference to the corresponding medical records and/or notes of those providers. Further, at this stage of discovery, it does appear that some of the bills submitted by plaintiff in his demand p</w:t>
      </w:r>
      <w:r>
        <w:rPr>
          <w:rFonts w:ascii="Times New Roman" w:hAnsi="Times New Roman" w:cs="Times New Roman"/>
          <w:sz w:val="24"/>
          <w:szCs w:val="24"/>
        </w:rPr>
        <w:t>ackage relate to treatment provided to plaintiff that is unrelated to the accident in question and instead relates to pre-existing and degenerative conditions of plaintiff. These issues will be resolved through additional document and records requests and/</w:t>
      </w:r>
      <w:r>
        <w:rPr>
          <w:rFonts w:ascii="Times New Roman" w:hAnsi="Times New Roman" w:cs="Times New Roman"/>
          <w:sz w:val="24"/>
          <w:szCs w:val="24"/>
        </w:rPr>
        <w:t xml:space="preserve">or discovery depositions of the plaintiff, his </w:t>
      </w:r>
      <w:r w:rsidR="004535E4">
        <w:rPr>
          <w:rFonts w:ascii="Times New Roman" w:hAnsi="Times New Roman" w:cs="Times New Roman"/>
          <w:sz w:val="24"/>
          <w:szCs w:val="24"/>
        </w:rPr>
        <w:t>nurse,</w:t>
      </w:r>
      <w:r>
        <w:rPr>
          <w:rFonts w:ascii="Times New Roman" w:hAnsi="Times New Roman" w:cs="Times New Roman"/>
          <w:sz w:val="24"/>
          <w:szCs w:val="24"/>
        </w:rPr>
        <w:t xml:space="preserve"> and his medical providers. As discovery has just begun, this defendant cannot provide a full response to the above interrogatory and will supplement the same pursuant to the civil rules and/or any order</w:t>
      </w:r>
      <w:r>
        <w:rPr>
          <w:rFonts w:ascii="Times New Roman" w:hAnsi="Times New Roman" w:cs="Times New Roman"/>
          <w:sz w:val="24"/>
          <w:szCs w:val="24"/>
        </w:rPr>
        <w:t xml:space="preserve"> of the court.</w:t>
      </w:r>
    </w:p>
    <w:p w14:paraId="736A1842" w14:textId="21E558FB" w:rsidR="00405B2F" w:rsidRDefault="00363BAC" w:rsidP="0021472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 have initially set forth a valid objection which should stand up to any scrutiny by the court. In case the court does not entirely agree with me</w:t>
      </w:r>
      <w:r w:rsidR="00547F1A">
        <w:rPr>
          <w:rFonts w:ascii="Times New Roman" w:hAnsi="Times New Roman" w:cs="Times New Roman"/>
          <w:sz w:val="24"/>
          <w:szCs w:val="24"/>
        </w:rPr>
        <w:t>,</w:t>
      </w:r>
      <w:r>
        <w:rPr>
          <w:rFonts w:ascii="Times New Roman" w:hAnsi="Times New Roman" w:cs="Times New Roman"/>
          <w:sz w:val="24"/>
          <w:szCs w:val="24"/>
        </w:rPr>
        <w:t xml:space="preserve"> I have also included a great deal of additional information which explains why I cannot </w:t>
      </w:r>
      <w:r w:rsidR="00B64507">
        <w:rPr>
          <w:rFonts w:ascii="Times New Roman" w:hAnsi="Times New Roman" w:cs="Times New Roman"/>
          <w:sz w:val="24"/>
          <w:szCs w:val="24"/>
        </w:rPr>
        <w:t xml:space="preserve">fully </w:t>
      </w:r>
      <w:r>
        <w:rPr>
          <w:rFonts w:ascii="Times New Roman" w:hAnsi="Times New Roman" w:cs="Times New Roman"/>
          <w:sz w:val="24"/>
          <w:szCs w:val="24"/>
        </w:rPr>
        <w:t>answer the interrogatory at this time and notes that it will be supplemented pursuant to the rules or any order of the court</w:t>
      </w:r>
      <w:r w:rsidR="00B64507">
        <w:rPr>
          <w:rFonts w:ascii="Times New Roman" w:hAnsi="Times New Roman" w:cs="Times New Roman"/>
          <w:sz w:val="24"/>
          <w:szCs w:val="24"/>
        </w:rPr>
        <w:t>,</w:t>
      </w:r>
      <w:r>
        <w:rPr>
          <w:rFonts w:ascii="Times New Roman" w:hAnsi="Times New Roman" w:cs="Times New Roman"/>
          <w:sz w:val="24"/>
          <w:szCs w:val="24"/>
        </w:rPr>
        <w:t xml:space="preserve"> which might include disclosure of experts or other deadlines. Thus, in addition to what I believe is a valid objection</w:t>
      </w:r>
      <w:r w:rsidR="00B64507">
        <w:rPr>
          <w:rFonts w:ascii="Times New Roman" w:hAnsi="Times New Roman" w:cs="Times New Roman"/>
          <w:sz w:val="24"/>
          <w:szCs w:val="24"/>
        </w:rPr>
        <w:t>,</w:t>
      </w:r>
      <w:r>
        <w:rPr>
          <w:rFonts w:ascii="Times New Roman" w:hAnsi="Times New Roman" w:cs="Times New Roman"/>
          <w:sz w:val="24"/>
          <w:szCs w:val="24"/>
        </w:rPr>
        <w:t xml:space="preserve"> I ha</w:t>
      </w:r>
      <w:r>
        <w:rPr>
          <w:rFonts w:ascii="Times New Roman" w:hAnsi="Times New Roman" w:cs="Times New Roman"/>
          <w:sz w:val="24"/>
          <w:szCs w:val="24"/>
        </w:rPr>
        <w:t>ve also included additional information to show the court I am not simply ignoring the request. To date</w:t>
      </w:r>
      <w:r w:rsidR="00B64507">
        <w:rPr>
          <w:rFonts w:ascii="Times New Roman" w:hAnsi="Times New Roman" w:cs="Times New Roman"/>
          <w:sz w:val="24"/>
          <w:szCs w:val="24"/>
        </w:rPr>
        <w:t>,</w:t>
      </w:r>
      <w:r>
        <w:rPr>
          <w:rFonts w:ascii="Times New Roman" w:hAnsi="Times New Roman" w:cs="Times New Roman"/>
          <w:sz w:val="24"/>
          <w:szCs w:val="24"/>
        </w:rPr>
        <w:t xml:space="preserve"> plaintiffs’ counsel </w:t>
      </w:r>
      <w:r w:rsidR="00B64507">
        <w:rPr>
          <w:rFonts w:ascii="Times New Roman" w:hAnsi="Times New Roman" w:cs="Times New Roman"/>
          <w:sz w:val="24"/>
          <w:szCs w:val="24"/>
        </w:rPr>
        <w:t>has</w:t>
      </w:r>
      <w:r>
        <w:rPr>
          <w:rFonts w:ascii="Times New Roman" w:hAnsi="Times New Roman" w:cs="Times New Roman"/>
          <w:sz w:val="24"/>
          <w:szCs w:val="24"/>
        </w:rPr>
        <w:t xml:space="preserve"> not pushed back by requesting supplementations or filing a motion to compel with the court.</w:t>
      </w:r>
    </w:p>
    <w:p w14:paraId="48317EA8" w14:textId="77777777" w:rsidR="00405B2F" w:rsidRDefault="00363BAC" w:rsidP="002147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have also received in numerous </w:t>
      </w:r>
      <w:r>
        <w:rPr>
          <w:rFonts w:ascii="Times New Roman" w:hAnsi="Times New Roman" w:cs="Times New Roman"/>
          <w:sz w:val="24"/>
          <w:szCs w:val="24"/>
        </w:rPr>
        <w:t xml:space="preserve">cases an interrogatory that reads as follows: “state the total amount of damages for past pain-and-suffering that the defendant contends that plaintiff has suffered, and the total amount of damages for future pain and suffering that the defendant contends </w:t>
      </w:r>
      <w:r>
        <w:rPr>
          <w:rFonts w:ascii="Times New Roman" w:hAnsi="Times New Roman" w:cs="Times New Roman"/>
          <w:sz w:val="24"/>
          <w:szCs w:val="24"/>
        </w:rPr>
        <w:t>that plaintiff will suffer, as a result of the collision at issue.” As mentioned above, I do not like to object based on the fact that a question is beyond the scope of the civil rules, but clearly make an exception for interrogatories such as the above. I</w:t>
      </w:r>
      <w:r>
        <w:rPr>
          <w:rFonts w:ascii="Times New Roman" w:hAnsi="Times New Roman" w:cs="Times New Roman"/>
          <w:sz w:val="24"/>
          <w:szCs w:val="24"/>
        </w:rPr>
        <w:t>n addition to my objection based on the fact that it is beyond the scope of the civil rules I would also note that the interrogatory requests information which is the sole province of the jury</w:t>
      </w:r>
      <w:r w:rsidR="00214723">
        <w:rPr>
          <w:rFonts w:ascii="Times New Roman" w:hAnsi="Times New Roman" w:cs="Times New Roman"/>
          <w:sz w:val="24"/>
          <w:szCs w:val="24"/>
        </w:rPr>
        <w:t xml:space="preserve"> and also presumes a breakdown of damages which is not appropriate.</w:t>
      </w:r>
    </w:p>
    <w:p w14:paraId="2DD4D56A" w14:textId="77777777" w:rsidR="0073710F" w:rsidRDefault="00363BAC" w:rsidP="002147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vast majority of these interrogatories as well as requests for admission are an attempt by plaintiff to shift the burden of proof to defendants. That is improper under our </w:t>
      </w:r>
      <w:r w:rsidR="00E634C7">
        <w:rPr>
          <w:rFonts w:ascii="Times New Roman" w:hAnsi="Times New Roman" w:cs="Times New Roman"/>
          <w:sz w:val="24"/>
          <w:szCs w:val="24"/>
        </w:rPr>
        <w:t>rules,</w:t>
      </w:r>
      <w:r>
        <w:rPr>
          <w:rFonts w:ascii="Times New Roman" w:hAnsi="Times New Roman" w:cs="Times New Roman"/>
          <w:sz w:val="24"/>
          <w:szCs w:val="24"/>
        </w:rPr>
        <w:t xml:space="preserve"> and we need to make sure that we are fully and completely responding</w:t>
      </w:r>
      <w:r>
        <w:rPr>
          <w:rFonts w:ascii="Times New Roman" w:hAnsi="Times New Roman" w:cs="Times New Roman"/>
          <w:sz w:val="24"/>
          <w:szCs w:val="24"/>
        </w:rPr>
        <w:t xml:space="preserve"> to all of them in a manner that makes that clear. I will most certainly share additional examples that we have received in the recent past and that I hope we can discuss during the presentation. Again, it is my hope that as a defense bar we can come to a </w:t>
      </w:r>
      <w:r>
        <w:rPr>
          <w:rFonts w:ascii="Times New Roman" w:hAnsi="Times New Roman" w:cs="Times New Roman"/>
          <w:sz w:val="24"/>
          <w:szCs w:val="24"/>
        </w:rPr>
        <w:t xml:space="preserve">common understanding regarding how best to respond. If our collective </w:t>
      </w:r>
      <w:r>
        <w:rPr>
          <w:rFonts w:ascii="Times New Roman" w:hAnsi="Times New Roman" w:cs="Times New Roman"/>
          <w:sz w:val="24"/>
          <w:szCs w:val="24"/>
        </w:rPr>
        <w:lastRenderedPageBreak/>
        <w:t xml:space="preserve">responses are </w:t>
      </w:r>
      <w:r w:rsidR="00AB2974">
        <w:rPr>
          <w:rFonts w:ascii="Times New Roman" w:hAnsi="Times New Roman" w:cs="Times New Roman"/>
          <w:sz w:val="24"/>
          <w:szCs w:val="24"/>
        </w:rPr>
        <w:t>similar,</w:t>
      </w:r>
      <w:r>
        <w:rPr>
          <w:rFonts w:ascii="Times New Roman" w:hAnsi="Times New Roman" w:cs="Times New Roman"/>
          <w:sz w:val="24"/>
          <w:szCs w:val="24"/>
        </w:rPr>
        <w:t xml:space="preserve"> I believe that the courts will eventually recognize the abusive nature of the discovery and hold counsel responsible.</w:t>
      </w:r>
    </w:p>
    <w:p w14:paraId="590C09F0" w14:textId="77777777" w:rsidR="00214723" w:rsidRDefault="00363BAC" w:rsidP="0021472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Mediation</w:t>
      </w:r>
    </w:p>
    <w:p w14:paraId="3DE63280" w14:textId="77777777" w:rsidR="00214723" w:rsidRDefault="00363BAC" w:rsidP="00AB29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Plaintiff’s playbook </w:t>
      </w:r>
      <w:r w:rsidR="00E634C7">
        <w:rPr>
          <w:rFonts w:ascii="Times New Roman" w:hAnsi="Times New Roman" w:cs="Times New Roman"/>
          <w:sz w:val="24"/>
          <w:szCs w:val="24"/>
        </w:rPr>
        <w:t>h</w:t>
      </w:r>
      <w:r>
        <w:rPr>
          <w:rFonts w:ascii="Times New Roman" w:hAnsi="Times New Roman" w:cs="Times New Roman"/>
          <w:sz w:val="24"/>
          <w:szCs w:val="24"/>
        </w:rPr>
        <w:t>as evolved in</w:t>
      </w:r>
      <w:r>
        <w:rPr>
          <w:rFonts w:ascii="Times New Roman" w:hAnsi="Times New Roman" w:cs="Times New Roman"/>
          <w:sz w:val="24"/>
          <w:szCs w:val="24"/>
        </w:rPr>
        <w:t xml:space="preserve"> multiple </w:t>
      </w:r>
      <w:r w:rsidR="00E634C7">
        <w:rPr>
          <w:rFonts w:ascii="Times New Roman" w:hAnsi="Times New Roman" w:cs="Times New Roman"/>
          <w:sz w:val="24"/>
          <w:szCs w:val="24"/>
        </w:rPr>
        <w:t>ways,</w:t>
      </w:r>
      <w:r>
        <w:rPr>
          <w:rFonts w:ascii="Times New Roman" w:hAnsi="Times New Roman" w:cs="Times New Roman"/>
          <w:sz w:val="24"/>
          <w:szCs w:val="24"/>
        </w:rPr>
        <w:t xml:space="preserve"> but I have yet to see a pattern or any unique practices during mediation or settlement discussions. </w:t>
      </w:r>
      <w:r w:rsidR="003471D8">
        <w:rPr>
          <w:rFonts w:ascii="Times New Roman" w:hAnsi="Times New Roman" w:cs="Times New Roman"/>
          <w:sz w:val="24"/>
          <w:szCs w:val="24"/>
        </w:rPr>
        <w:t>O</w:t>
      </w:r>
      <w:r>
        <w:rPr>
          <w:rFonts w:ascii="Times New Roman" w:hAnsi="Times New Roman" w:cs="Times New Roman"/>
          <w:sz w:val="24"/>
          <w:szCs w:val="24"/>
        </w:rPr>
        <w:t>verall</w:t>
      </w:r>
      <w:r w:rsidR="003471D8">
        <w:rPr>
          <w:rFonts w:ascii="Times New Roman" w:hAnsi="Times New Roman" w:cs="Times New Roman"/>
          <w:sz w:val="24"/>
          <w:szCs w:val="24"/>
        </w:rPr>
        <w:t>, however,</w:t>
      </w:r>
      <w:r>
        <w:rPr>
          <w:rFonts w:ascii="Times New Roman" w:hAnsi="Times New Roman" w:cs="Times New Roman"/>
          <w:sz w:val="24"/>
          <w:szCs w:val="24"/>
        </w:rPr>
        <w:t xml:space="preserve"> it has been my experience</w:t>
      </w:r>
      <w:r w:rsidR="00B07A94">
        <w:rPr>
          <w:rFonts w:ascii="Times New Roman" w:hAnsi="Times New Roman" w:cs="Times New Roman"/>
          <w:sz w:val="24"/>
          <w:szCs w:val="24"/>
        </w:rPr>
        <w:t xml:space="preserve"> that all plaintiffs</w:t>
      </w:r>
      <w:r w:rsidR="00B64507">
        <w:rPr>
          <w:rFonts w:ascii="Times New Roman" w:hAnsi="Times New Roman" w:cs="Times New Roman"/>
          <w:sz w:val="24"/>
          <w:szCs w:val="24"/>
        </w:rPr>
        <w:t>’</w:t>
      </w:r>
      <w:r w:rsidR="00B07A94">
        <w:rPr>
          <w:rFonts w:ascii="Times New Roman" w:hAnsi="Times New Roman" w:cs="Times New Roman"/>
          <w:sz w:val="24"/>
          <w:szCs w:val="24"/>
        </w:rPr>
        <w:t xml:space="preserve"> attorneys seem to be taking a much harder line during mediation and valuing their client’s claims much higher than would be expected. Either I have forgotten how to value case</w:t>
      </w:r>
      <w:r w:rsidR="00B64507">
        <w:rPr>
          <w:rFonts w:ascii="Times New Roman" w:hAnsi="Times New Roman" w:cs="Times New Roman"/>
          <w:sz w:val="24"/>
          <w:szCs w:val="24"/>
        </w:rPr>
        <w:t>s</w:t>
      </w:r>
      <w:r w:rsidR="00B07A94">
        <w:rPr>
          <w:rFonts w:ascii="Times New Roman" w:hAnsi="Times New Roman" w:cs="Times New Roman"/>
          <w:sz w:val="24"/>
          <w:szCs w:val="24"/>
        </w:rPr>
        <w:t xml:space="preserve"> after 27 years or plaintiffs are intentionally pushing defendants towards trial. It is my belief that the plaintiffs or at least a significant number of them have decided that the manner in which cases have been evaluated needs to change and that the only way to do so is to try more cases. Although there have not been a great number of trials since the courts open</w:t>
      </w:r>
      <w:r w:rsidR="00B64507">
        <w:rPr>
          <w:rFonts w:ascii="Times New Roman" w:hAnsi="Times New Roman" w:cs="Times New Roman"/>
          <w:sz w:val="24"/>
          <w:szCs w:val="24"/>
        </w:rPr>
        <w:t>ed</w:t>
      </w:r>
      <w:r w:rsidR="00B07A94">
        <w:rPr>
          <w:rFonts w:ascii="Times New Roman" w:hAnsi="Times New Roman" w:cs="Times New Roman"/>
          <w:sz w:val="24"/>
          <w:szCs w:val="24"/>
        </w:rPr>
        <w:t xml:space="preserve"> back up, the ones that I am aware of suggest that plaintiff’s bar is incorrect in their belief th</w:t>
      </w:r>
      <w:r w:rsidR="00B64507">
        <w:rPr>
          <w:rFonts w:ascii="Times New Roman" w:hAnsi="Times New Roman" w:cs="Times New Roman"/>
          <w:sz w:val="24"/>
          <w:szCs w:val="24"/>
        </w:rPr>
        <w:t>at</w:t>
      </w:r>
      <w:r w:rsidR="00B07A94">
        <w:rPr>
          <w:rFonts w:ascii="Times New Roman" w:hAnsi="Times New Roman" w:cs="Times New Roman"/>
          <w:sz w:val="24"/>
          <w:szCs w:val="24"/>
        </w:rPr>
        <w:t xml:space="preserve"> cases are being undervalued.</w:t>
      </w:r>
    </w:p>
    <w:p w14:paraId="432C2B12" w14:textId="77777777" w:rsidR="00B07A94" w:rsidRDefault="00363BAC" w:rsidP="00B07A9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Trial</w:t>
      </w:r>
    </w:p>
    <w:p w14:paraId="107D31D3" w14:textId="77777777" w:rsidR="00B07A94" w:rsidRDefault="00363BAC" w:rsidP="00B07A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Unfortunately, I am not able to provide any direct assistance regarding plaintiff’s playbook at trial although my trial calendar suggests that this may </w:t>
      </w:r>
      <w:r>
        <w:rPr>
          <w:rFonts w:ascii="Times New Roman" w:hAnsi="Times New Roman" w:cs="Times New Roman"/>
          <w:sz w:val="24"/>
          <w:szCs w:val="24"/>
        </w:rPr>
        <w:t>change over the next 6 months. I am hopeful that others in attendance may be able to share with us their experience.</w:t>
      </w:r>
    </w:p>
    <w:p w14:paraId="2DED2ECA" w14:textId="77777777" w:rsidR="00B07A94" w:rsidRDefault="00363BAC" w:rsidP="00B07A9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Miscellaneous</w:t>
      </w:r>
    </w:p>
    <w:p w14:paraId="7F28CBA1" w14:textId="77777777" w:rsidR="00B07A94" w:rsidRDefault="00363BAC" w:rsidP="003675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7049E">
        <w:rPr>
          <w:rFonts w:ascii="Times New Roman" w:hAnsi="Times New Roman" w:cs="Times New Roman"/>
          <w:sz w:val="24"/>
          <w:szCs w:val="24"/>
        </w:rPr>
        <w:t>I</w:t>
      </w:r>
      <w:r w:rsidR="004E3753">
        <w:rPr>
          <w:rFonts w:ascii="Times New Roman" w:hAnsi="Times New Roman" w:cs="Times New Roman"/>
          <w:sz w:val="24"/>
          <w:szCs w:val="24"/>
        </w:rPr>
        <w:t>n trying</w:t>
      </w:r>
      <w:r w:rsidR="00C7049E">
        <w:rPr>
          <w:rFonts w:ascii="Times New Roman" w:hAnsi="Times New Roman" w:cs="Times New Roman"/>
          <w:sz w:val="24"/>
          <w:szCs w:val="24"/>
        </w:rPr>
        <w:t xml:space="preserve"> to review all of the unusual aspects of certain plaintiff’s approach to litigation</w:t>
      </w:r>
      <w:r w:rsidR="002674B6">
        <w:rPr>
          <w:rFonts w:ascii="Times New Roman" w:hAnsi="Times New Roman" w:cs="Times New Roman"/>
          <w:sz w:val="24"/>
          <w:szCs w:val="24"/>
        </w:rPr>
        <w:t xml:space="preserve"> I tried to think of other items that might be of interest. The only other issue, one that is arisen only recently, is counsel’s refusal</w:t>
      </w:r>
      <w:r w:rsidR="00532AF5">
        <w:rPr>
          <w:rFonts w:ascii="Times New Roman" w:hAnsi="Times New Roman" w:cs="Times New Roman"/>
          <w:sz w:val="24"/>
          <w:szCs w:val="24"/>
        </w:rPr>
        <w:t xml:space="preserve"> </w:t>
      </w:r>
      <w:r w:rsidR="00B64507">
        <w:rPr>
          <w:rFonts w:ascii="Times New Roman" w:hAnsi="Times New Roman" w:cs="Times New Roman"/>
          <w:sz w:val="24"/>
          <w:szCs w:val="24"/>
        </w:rPr>
        <w:t>to provide a notarized or otherwise verified signature for their client</w:t>
      </w:r>
      <w:r w:rsidR="00532AF5">
        <w:rPr>
          <w:rFonts w:ascii="Times New Roman" w:hAnsi="Times New Roman" w:cs="Times New Roman"/>
          <w:sz w:val="24"/>
          <w:szCs w:val="24"/>
        </w:rPr>
        <w:t xml:space="preserve"> on the settlement agreement. Despite numerous discussions with other defense counsel and other </w:t>
      </w:r>
      <w:r w:rsidR="00532AF5">
        <w:rPr>
          <w:rFonts w:ascii="Times New Roman" w:hAnsi="Times New Roman" w:cs="Times New Roman"/>
          <w:sz w:val="24"/>
          <w:szCs w:val="24"/>
        </w:rPr>
        <w:lastRenderedPageBreak/>
        <w:t>plaintiff’s counsel I have yet to hear</w:t>
      </w:r>
      <w:r w:rsidR="00B41E5D">
        <w:rPr>
          <w:rFonts w:ascii="Times New Roman" w:hAnsi="Times New Roman" w:cs="Times New Roman"/>
          <w:sz w:val="24"/>
          <w:szCs w:val="24"/>
        </w:rPr>
        <w:t xml:space="preserve"> any valid reason for this refusal. As such it will be my practice moving forward to include the necessity of a signed and notarized or otherwise verified signature</w:t>
      </w:r>
      <w:r w:rsidR="00B25658">
        <w:rPr>
          <w:rFonts w:ascii="Times New Roman" w:hAnsi="Times New Roman" w:cs="Times New Roman"/>
          <w:sz w:val="24"/>
          <w:szCs w:val="24"/>
        </w:rPr>
        <w:t xml:space="preserve"> on the settlement agreement as one of the ground rules when I start mediation. I suspect that I wi</w:t>
      </w:r>
      <w:r w:rsidR="00B64507">
        <w:rPr>
          <w:rFonts w:ascii="Times New Roman" w:hAnsi="Times New Roman" w:cs="Times New Roman"/>
          <w:sz w:val="24"/>
          <w:szCs w:val="24"/>
        </w:rPr>
        <w:t>ll include that request in my letter</w:t>
      </w:r>
      <w:r w:rsidR="00B25658">
        <w:rPr>
          <w:rFonts w:ascii="Times New Roman" w:hAnsi="Times New Roman" w:cs="Times New Roman"/>
          <w:sz w:val="24"/>
          <w:szCs w:val="24"/>
        </w:rPr>
        <w:t xml:space="preserve"> to the mediator and potentially in correspondence to plaintiff’s counsel</w:t>
      </w:r>
      <w:r w:rsidR="00B64507">
        <w:rPr>
          <w:rFonts w:ascii="Times New Roman" w:hAnsi="Times New Roman" w:cs="Times New Roman"/>
          <w:sz w:val="24"/>
          <w:szCs w:val="24"/>
        </w:rPr>
        <w:t xml:space="preserve"> prior to the same.</w:t>
      </w:r>
    </w:p>
    <w:p w14:paraId="5B18CDEE" w14:textId="77777777" w:rsidR="00983541" w:rsidRDefault="00363BAC" w:rsidP="00983541">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14:paraId="61A119C5" w14:textId="39310A48" w:rsidR="00983541" w:rsidRDefault="00363BAC" w:rsidP="0098354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E0B68">
        <w:rPr>
          <w:rFonts w:ascii="Times New Roman" w:hAnsi="Times New Roman" w:cs="Times New Roman"/>
          <w:sz w:val="24"/>
          <w:szCs w:val="24"/>
        </w:rPr>
        <w:t>There is nothing earth shattering</w:t>
      </w:r>
      <w:r w:rsidR="00C92A21">
        <w:rPr>
          <w:rFonts w:ascii="Times New Roman" w:hAnsi="Times New Roman" w:cs="Times New Roman"/>
          <w:sz w:val="24"/>
          <w:szCs w:val="24"/>
        </w:rPr>
        <w:t xml:space="preserve"> in the materials that I have provided for the purpose of this presentation. I am hopeful that with additional examples of plaintiff’s antics</w:t>
      </w:r>
      <w:r w:rsidR="00323220">
        <w:rPr>
          <w:rFonts w:ascii="Times New Roman" w:hAnsi="Times New Roman" w:cs="Times New Roman"/>
          <w:sz w:val="24"/>
          <w:szCs w:val="24"/>
        </w:rPr>
        <w:t xml:space="preserve"> and a discussion of the same that we can work towards common responses and a strategy</w:t>
      </w:r>
      <w:r w:rsidR="00BD6F5E">
        <w:rPr>
          <w:rFonts w:ascii="Times New Roman" w:hAnsi="Times New Roman" w:cs="Times New Roman"/>
          <w:sz w:val="24"/>
          <w:szCs w:val="24"/>
        </w:rPr>
        <w:t xml:space="preserve"> that will help persuade plaintiff’s counsel to discontinue the use of many</w:t>
      </w:r>
      <w:r>
        <w:rPr>
          <w:rFonts w:ascii="Times New Roman" w:hAnsi="Times New Roman" w:cs="Times New Roman"/>
          <w:sz w:val="24"/>
          <w:szCs w:val="24"/>
        </w:rPr>
        <w:t>,</w:t>
      </w:r>
      <w:r w:rsidR="00BD6F5E">
        <w:rPr>
          <w:rFonts w:ascii="Times New Roman" w:hAnsi="Times New Roman" w:cs="Times New Roman"/>
          <w:sz w:val="24"/>
          <w:szCs w:val="24"/>
        </w:rPr>
        <w:t xml:space="preserve"> if not all</w:t>
      </w:r>
      <w:r>
        <w:rPr>
          <w:rFonts w:ascii="Times New Roman" w:hAnsi="Times New Roman" w:cs="Times New Roman"/>
          <w:sz w:val="24"/>
          <w:szCs w:val="24"/>
        </w:rPr>
        <w:t>,</w:t>
      </w:r>
      <w:r w:rsidR="003A5DFE">
        <w:rPr>
          <w:rFonts w:ascii="Times New Roman" w:hAnsi="Times New Roman" w:cs="Times New Roman"/>
          <w:sz w:val="24"/>
          <w:szCs w:val="24"/>
        </w:rPr>
        <w:t xml:space="preserve"> of these abusive practices.</w:t>
      </w:r>
      <w:r w:rsidR="00A568F7">
        <w:rPr>
          <w:rFonts w:ascii="Times New Roman" w:hAnsi="Times New Roman" w:cs="Times New Roman"/>
          <w:sz w:val="24"/>
          <w:szCs w:val="24"/>
        </w:rPr>
        <w:t xml:space="preserve">  As mentioned above, it is my expectation that our group can discuss examples of these tactics and work towards responses that can help everyone.</w:t>
      </w:r>
      <w:r w:rsidR="003A5DFE">
        <w:rPr>
          <w:rFonts w:ascii="Times New Roman" w:hAnsi="Times New Roman" w:cs="Times New Roman"/>
          <w:sz w:val="24"/>
          <w:szCs w:val="24"/>
        </w:rPr>
        <w:t xml:space="preserve"> If there are any questions </w:t>
      </w:r>
      <w:r w:rsidR="00A568F7">
        <w:rPr>
          <w:rFonts w:ascii="Times New Roman" w:hAnsi="Times New Roman" w:cs="Times New Roman"/>
          <w:sz w:val="24"/>
          <w:szCs w:val="24"/>
        </w:rPr>
        <w:t>or you</w:t>
      </w:r>
      <w:r w:rsidR="003A5DFE">
        <w:rPr>
          <w:rFonts w:ascii="Times New Roman" w:hAnsi="Times New Roman" w:cs="Times New Roman"/>
          <w:sz w:val="24"/>
          <w:szCs w:val="24"/>
        </w:rPr>
        <w:t xml:space="preserve"> need any additional </w:t>
      </w:r>
      <w:r w:rsidR="0036149A">
        <w:rPr>
          <w:rFonts w:ascii="Times New Roman" w:hAnsi="Times New Roman" w:cs="Times New Roman"/>
          <w:sz w:val="24"/>
          <w:szCs w:val="24"/>
        </w:rPr>
        <w:t>information</w:t>
      </w:r>
      <w:r w:rsidR="00A568F7">
        <w:rPr>
          <w:rFonts w:ascii="Times New Roman" w:hAnsi="Times New Roman" w:cs="Times New Roman"/>
          <w:sz w:val="24"/>
          <w:szCs w:val="24"/>
        </w:rPr>
        <w:t xml:space="preserve"> regarding any of the items I’ve mentioned</w:t>
      </w:r>
      <w:r w:rsidR="0036149A">
        <w:rPr>
          <w:rFonts w:ascii="Times New Roman" w:hAnsi="Times New Roman" w:cs="Times New Roman"/>
          <w:sz w:val="24"/>
          <w:szCs w:val="24"/>
        </w:rPr>
        <w:t>,</w:t>
      </w:r>
      <w:r w:rsidR="003A5DFE">
        <w:rPr>
          <w:rFonts w:ascii="Times New Roman" w:hAnsi="Times New Roman" w:cs="Times New Roman"/>
          <w:sz w:val="24"/>
          <w:szCs w:val="24"/>
        </w:rPr>
        <w:t xml:space="preserve"> I am happy to assist</w:t>
      </w:r>
      <w:r w:rsidR="00A568F7">
        <w:rPr>
          <w:rFonts w:ascii="Times New Roman" w:hAnsi="Times New Roman" w:cs="Times New Roman"/>
          <w:sz w:val="24"/>
          <w:szCs w:val="24"/>
        </w:rPr>
        <w:t>.</w:t>
      </w:r>
      <w:r w:rsidR="003A5DFE">
        <w:rPr>
          <w:rFonts w:ascii="Times New Roman" w:hAnsi="Times New Roman" w:cs="Times New Roman"/>
          <w:sz w:val="24"/>
          <w:szCs w:val="24"/>
        </w:rPr>
        <w:t xml:space="preserve"> </w:t>
      </w:r>
      <w:r w:rsidR="00A568F7">
        <w:rPr>
          <w:rFonts w:ascii="Times New Roman" w:hAnsi="Times New Roman" w:cs="Times New Roman"/>
          <w:sz w:val="24"/>
          <w:szCs w:val="24"/>
        </w:rPr>
        <w:t>Y</w:t>
      </w:r>
      <w:r w:rsidR="003A5DFE">
        <w:rPr>
          <w:rFonts w:ascii="Times New Roman" w:hAnsi="Times New Roman" w:cs="Times New Roman"/>
          <w:sz w:val="24"/>
          <w:szCs w:val="24"/>
        </w:rPr>
        <w:t>ou can reach me</w:t>
      </w:r>
      <w:r w:rsidR="00872109">
        <w:rPr>
          <w:rFonts w:ascii="Times New Roman" w:hAnsi="Times New Roman" w:cs="Times New Roman"/>
          <w:sz w:val="24"/>
          <w:szCs w:val="24"/>
        </w:rPr>
        <w:t xml:space="preserve"> by phone at the office or via email at </w:t>
      </w:r>
      <w:r w:rsidR="00872109" w:rsidRPr="00E02C0F">
        <w:rPr>
          <w:rFonts w:ascii="Times New Roman" w:hAnsi="Times New Roman" w:cs="Times New Roman"/>
          <w:sz w:val="24"/>
          <w:szCs w:val="24"/>
        </w:rPr>
        <w:t>ghughes@cbmlaw.net</w:t>
      </w:r>
      <w:r w:rsidR="00872109">
        <w:rPr>
          <w:rFonts w:ascii="Times New Roman" w:hAnsi="Times New Roman" w:cs="Times New Roman"/>
          <w:sz w:val="24"/>
          <w:szCs w:val="24"/>
        </w:rPr>
        <w:t>. Thank you for your time and attention</w:t>
      </w:r>
      <w:r w:rsidR="0036149A">
        <w:rPr>
          <w:rFonts w:ascii="Times New Roman" w:hAnsi="Times New Roman" w:cs="Times New Roman"/>
          <w:sz w:val="24"/>
          <w:szCs w:val="24"/>
        </w:rPr>
        <w:t>.</w:t>
      </w:r>
    </w:p>
    <w:p w14:paraId="7C66937F" w14:textId="77777777" w:rsidR="00BF53E1" w:rsidRDefault="00BF53E1" w:rsidP="00983541">
      <w:pPr>
        <w:spacing w:line="480" w:lineRule="auto"/>
        <w:jc w:val="both"/>
        <w:rPr>
          <w:rFonts w:ascii="Times New Roman" w:hAnsi="Times New Roman" w:cs="Times New Roman"/>
          <w:sz w:val="24"/>
          <w:szCs w:val="24"/>
        </w:rPr>
      </w:pPr>
    </w:p>
    <w:p w14:paraId="063575C9" w14:textId="77777777" w:rsidR="00BF53E1" w:rsidRDefault="00BF53E1" w:rsidP="00983541">
      <w:pPr>
        <w:spacing w:line="480" w:lineRule="auto"/>
        <w:jc w:val="both"/>
        <w:rPr>
          <w:rFonts w:ascii="Times New Roman" w:hAnsi="Times New Roman" w:cs="Times New Roman"/>
          <w:sz w:val="24"/>
          <w:szCs w:val="24"/>
        </w:rPr>
      </w:pPr>
    </w:p>
    <w:p w14:paraId="4BF4633B" w14:textId="77777777" w:rsidR="00BF53E1" w:rsidRDefault="00363BAC" w:rsidP="00BF5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Guy E. Hughes</w:t>
      </w:r>
    </w:p>
    <w:p w14:paraId="798FA5A6" w14:textId="77777777" w:rsidR="00BF53E1" w:rsidRDefault="00363BAC" w:rsidP="00BF5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Casey, Bailey &amp; Maines, </w:t>
      </w:r>
      <w:proofErr w:type="spellStart"/>
      <w:r>
        <w:rPr>
          <w:rFonts w:ascii="Times New Roman" w:hAnsi="Times New Roman" w:cs="Times New Roman"/>
          <w:sz w:val="24"/>
          <w:szCs w:val="24"/>
        </w:rPr>
        <w:t>PLLC</w:t>
      </w:r>
      <w:proofErr w:type="spellEnd"/>
    </w:p>
    <w:p w14:paraId="16D2BBA1" w14:textId="77777777" w:rsidR="00BF53E1" w:rsidRDefault="00363BAC" w:rsidP="00BF5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3151 Beaumont Centre Circle, Suite 201</w:t>
      </w:r>
    </w:p>
    <w:p w14:paraId="2D74DFBD" w14:textId="77777777" w:rsidR="00BF53E1" w:rsidRDefault="00363BAC" w:rsidP="00BF5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Lexington, KY 40513</w:t>
      </w:r>
    </w:p>
    <w:p w14:paraId="77B81DBD" w14:textId="77777777" w:rsidR="00BF53E1" w:rsidRDefault="00363BAC" w:rsidP="00BF5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(859)243-0228</w:t>
      </w:r>
    </w:p>
    <w:p w14:paraId="6D59D1D2" w14:textId="77777777" w:rsidR="00BF53E1" w:rsidRPr="00983541" w:rsidRDefault="00BF53E1" w:rsidP="00BF53E1">
      <w:pPr>
        <w:spacing w:line="240" w:lineRule="auto"/>
        <w:jc w:val="both"/>
        <w:rPr>
          <w:rFonts w:ascii="Times New Roman" w:hAnsi="Times New Roman" w:cs="Times New Roman"/>
          <w:sz w:val="24"/>
          <w:szCs w:val="24"/>
        </w:rPr>
      </w:pPr>
    </w:p>
    <w:p w14:paraId="29D3505D" w14:textId="77777777" w:rsidR="00983541" w:rsidRPr="00983541" w:rsidRDefault="00983541" w:rsidP="00983541">
      <w:pPr>
        <w:spacing w:line="480" w:lineRule="auto"/>
        <w:jc w:val="both"/>
        <w:rPr>
          <w:rFonts w:ascii="Times New Roman" w:hAnsi="Times New Roman" w:cs="Times New Roman"/>
          <w:b/>
          <w:bCs/>
          <w:sz w:val="24"/>
          <w:szCs w:val="24"/>
          <w:u w:val="single"/>
        </w:rPr>
      </w:pPr>
    </w:p>
    <w:sectPr w:rsidR="00983541" w:rsidRPr="00983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40E4B"/>
    <w:multiLevelType w:val="hybridMultilevel"/>
    <w:tmpl w:val="1EF29AA8"/>
    <w:lvl w:ilvl="0" w:tplc="FE522FB2">
      <w:start w:val="1"/>
      <w:numFmt w:val="decimal"/>
      <w:lvlText w:val="(%1)"/>
      <w:lvlJc w:val="left"/>
      <w:pPr>
        <w:ind w:left="1140" w:hanging="360"/>
      </w:pPr>
      <w:rPr>
        <w:rFonts w:hint="default"/>
      </w:rPr>
    </w:lvl>
    <w:lvl w:ilvl="1" w:tplc="069024F6" w:tentative="1">
      <w:start w:val="1"/>
      <w:numFmt w:val="lowerLetter"/>
      <w:lvlText w:val="%2."/>
      <w:lvlJc w:val="left"/>
      <w:pPr>
        <w:ind w:left="1860" w:hanging="360"/>
      </w:pPr>
    </w:lvl>
    <w:lvl w:ilvl="2" w:tplc="5EC2D794" w:tentative="1">
      <w:start w:val="1"/>
      <w:numFmt w:val="lowerRoman"/>
      <w:lvlText w:val="%3."/>
      <w:lvlJc w:val="right"/>
      <w:pPr>
        <w:ind w:left="2580" w:hanging="180"/>
      </w:pPr>
    </w:lvl>
    <w:lvl w:ilvl="3" w:tplc="DC983FCE" w:tentative="1">
      <w:start w:val="1"/>
      <w:numFmt w:val="decimal"/>
      <w:lvlText w:val="%4."/>
      <w:lvlJc w:val="left"/>
      <w:pPr>
        <w:ind w:left="3300" w:hanging="360"/>
      </w:pPr>
    </w:lvl>
    <w:lvl w:ilvl="4" w:tplc="20605A5E" w:tentative="1">
      <w:start w:val="1"/>
      <w:numFmt w:val="lowerLetter"/>
      <w:lvlText w:val="%5."/>
      <w:lvlJc w:val="left"/>
      <w:pPr>
        <w:ind w:left="4020" w:hanging="360"/>
      </w:pPr>
    </w:lvl>
    <w:lvl w:ilvl="5" w:tplc="5366C640" w:tentative="1">
      <w:start w:val="1"/>
      <w:numFmt w:val="lowerRoman"/>
      <w:lvlText w:val="%6."/>
      <w:lvlJc w:val="right"/>
      <w:pPr>
        <w:ind w:left="4740" w:hanging="180"/>
      </w:pPr>
    </w:lvl>
    <w:lvl w:ilvl="6" w:tplc="0970846A" w:tentative="1">
      <w:start w:val="1"/>
      <w:numFmt w:val="decimal"/>
      <w:lvlText w:val="%7."/>
      <w:lvlJc w:val="left"/>
      <w:pPr>
        <w:ind w:left="5460" w:hanging="360"/>
      </w:pPr>
    </w:lvl>
    <w:lvl w:ilvl="7" w:tplc="731695C0" w:tentative="1">
      <w:start w:val="1"/>
      <w:numFmt w:val="lowerLetter"/>
      <w:lvlText w:val="%8."/>
      <w:lvlJc w:val="left"/>
      <w:pPr>
        <w:ind w:left="6180" w:hanging="360"/>
      </w:pPr>
    </w:lvl>
    <w:lvl w:ilvl="8" w:tplc="7D58105E" w:tentative="1">
      <w:start w:val="1"/>
      <w:numFmt w:val="lowerRoman"/>
      <w:lvlText w:val="%9."/>
      <w:lvlJc w:val="right"/>
      <w:pPr>
        <w:ind w:left="6900" w:hanging="180"/>
      </w:pPr>
    </w:lvl>
  </w:abstractNum>
  <w:abstractNum w:abstractNumId="1" w15:restartNumberingAfterBreak="0">
    <w:nsid w:val="5CA32A96"/>
    <w:multiLevelType w:val="hybridMultilevel"/>
    <w:tmpl w:val="935E0E66"/>
    <w:lvl w:ilvl="0" w:tplc="D5C454C8">
      <w:start w:val="1"/>
      <w:numFmt w:val="upperRoman"/>
      <w:lvlText w:val="%1."/>
      <w:lvlJc w:val="left"/>
      <w:pPr>
        <w:ind w:left="1440" w:hanging="720"/>
      </w:pPr>
      <w:rPr>
        <w:rFonts w:hint="default"/>
      </w:rPr>
    </w:lvl>
    <w:lvl w:ilvl="1" w:tplc="066CB1A2" w:tentative="1">
      <w:start w:val="1"/>
      <w:numFmt w:val="lowerLetter"/>
      <w:lvlText w:val="%2."/>
      <w:lvlJc w:val="left"/>
      <w:pPr>
        <w:ind w:left="1800" w:hanging="360"/>
      </w:pPr>
    </w:lvl>
    <w:lvl w:ilvl="2" w:tplc="29A62F36" w:tentative="1">
      <w:start w:val="1"/>
      <w:numFmt w:val="lowerRoman"/>
      <w:lvlText w:val="%3."/>
      <w:lvlJc w:val="right"/>
      <w:pPr>
        <w:ind w:left="2520" w:hanging="180"/>
      </w:pPr>
    </w:lvl>
    <w:lvl w:ilvl="3" w:tplc="8C806B06" w:tentative="1">
      <w:start w:val="1"/>
      <w:numFmt w:val="decimal"/>
      <w:lvlText w:val="%4."/>
      <w:lvlJc w:val="left"/>
      <w:pPr>
        <w:ind w:left="3240" w:hanging="360"/>
      </w:pPr>
    </w:lvl>
    <w:lvl w:ilvl="4" w:tplc="3918C28C" w:tentative="1">
      <w:start w:val="1"/>
      <w:numFmt w:val="lowerLetter"/>
      <w:lvlText w:val="%5."/>
      <w:lvlJc w:val="left"/>
      <w:pPr>
        <w:ind w:left="3960" w:hanging="360"/>
      </w:pPr>
    </w:lvl>
    <w:lvl w:ilvl="5" w:tplc="1E2CDACC" w:tentative="1">
      <w:start w:val="1"/>
      <w:numFmt w:val="lowerRoman"/>
      <w:lvlText w:val="%6."/>
      <w:lvlJc w:val="right"/>
      <w:pPr>
        <w:ind w:left="4680" w:hanging="180"/>
      </w:pPr>
    </w:lvl>
    <w:lvl w:ilvl="6" w:tplc="76088220" w:tentative="1">
      <w:start w:val="1"/>
      <w:numFmt w:val="decimal"/>
      <w:lvlText w:val="%7."/>
      <w:lvlJc w:val="left"/>
      <w:pPr>
        <w:ind w:left="5400" w:hanging="360"/>
      </w:pPr>
    </w:lvl>
    <w:lvl w:ilvl="7" w:tplc="7D905BB6" w:tentative="1">
      <w:start w:val="1"/>
      <w:numFmt w:val="lowerLetter"/>
      <w:lvlText w:val="%8."/>
      <w:lvlJc w:val="left"/>
      <w:pPr>
        <w:ind w:left="6120" w:hanging="360"/>
      </w:pPr>
    </w:lvl>
    <w:lvl w:ilvl="8" w:tplc="A782AC4E"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AE"/>
    <w:rsid w:val="00052337"/>
    <w:rsid w:val="000907C8"/>
    <w:rsid w:val="000E0B68"/>
    <w:rsid w:val="000E1A08"/>
    <w:rsid w:val="000F38AC"/>
    <w:rsid w:val="00187FEB"/>
    <w:rsid w:val="001F1FBC"/>
    <w:rsid w:val="0020115A"/>
    <w:rsid w:val="00214723"/>
    <w:rsid w:val="00240641"/>
    <w:rsid w:val="002674B6"/>
    <w:rsid w:val="003141B3"/>
    <w:rsid w:val="00323220"/>
    <w:rsid w:val="00341713"/>
    <w:rsid w:val="003471D8"/>
    <w:rsid w:val="0036149A"/>
    <w:rsid w:val="00363BAC"/>
    <w:rsid w:val="003675BA"/>
    <w:rsid w:val="003A5DFE"/>
    <w:rsid w:val="003E0C40"/>
    <w:rsid w:val="00405B2F"/>
    <w:rsid w:val="00416111"/>
    <w:rsid w:val="004535E4"/>
    <w:rsid w:val="004E3753"/>
    <w:rsid w:val="00532AF5"/>
    <w:rsid w:val="005400BB"/>
    <w:rsid w:val="00547F1A"/>
    <w:rsid w:val="0055551C"/>
    <w:rsid w:val="005E3BDF"/>
    <w:rsid w:val="0073710F"/>
    <w:rsid w:val="007447FB"/>
    <w:rsid w:val="00767456"/>
    <w:rsid w:val="007C2BA2"/>
    <w:rsid w:val="007C4589"/>
    <w:rsid w:val="007C59AE"/>
    <w:rsid w:val="008163FD"/>
    <w:rsid w:val="00824ACF"/>
    <w:rsid w:val="00855DDC"/>
    <w:rsid w:val="00872109"/>
    <w:rsid w:val="008E669A"/>
    <w:rsid w:val="009372DF"/>
    <w:rsid w:val="00963316"/>
    <w:rsid w:val="00983541"/>
    <w:rsid w:val="00986D56"/>
    <w:rsid w:val="009B1D1C"/>
    <w:rsid w:val="00A00CB1"/>
    <w:rsid w:val="00A107C7"/>
    <w:rsid w:val="00A568F7"/>
    <w:rsid w:val="00A6208B"/>
    <w:rsid w:val="00A8308B"/>
    <w:rsid w:val="00A86610"/>
    <w:rsid w:val="00AB2974"/>
    <w:rsid w:val="00AC56C4"/>
    <w:rsid w:val="00B07A94"/>
    <w:rsid w:val="00B25658"/>
    <w:rsid w:val="00B26AE1"/>
    <w:rsid w:val="00B41E5D"/>
    <w:rsid w:val="00B64507"/>
    <w:rsid w:val="00BC7C8F"/>
    <w:rsid w:val="00BD6F5E"/>
    <w:rsid w:val="00BF53E1"/>
    <w:rsid w:val="00C7049E"/>
    <w:rsid w:val="00C92A21"/>
    <w:rsid w:val="00CD5D28"/>
    <w:rsid w:val="00D11FBD"/>
    <w:rsid w:val="00D76F81"/>
    <w:rsid w:val="00D87FEF"/>
    <w:rsid w:val="00DA78E6"/>
    <w:rsid w:val="00DB3E2A"/>
    <w:rsid w:val="00DD7AD2"/>
    <w:rsid w:val="00DF19BB"/>
    <w:rsid w:val="00E02C0F"/>
    <w:rsid w:val="00E463FF"/>
    <w:rsid w:val="00E634C7"/>
    <w:rsid w:val="00F5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384D-98FF-4377-BCCF-78CA4B4B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DF"/>
    <w:pPr>
      <w:ind w:left="720"/>
      <w:contextualSpacing/>
    </w:pPr>
  </w:style>
  <w:style w:type="character" w:styleId="Hyperlink">
    <w:name w:val="Hyperlink"/>
    <w:basedOn w:val="DefaultParagraphFont"/>
    <w:uiPriority w:val="99"/>
    <w:unhideWhenUsed/>
    <w:rsid w:val="00872109"/>
    <w:rPr>
      <w:color w:val="0563C1" w:themeColor="hyperlink"/>
      <w:u w:val="single"/>
    </w:rPr>
  </w:style>
  <w:style w:type="character" w:customStyle="1" w:styleId="UnresolvedMention1">
    <w:name w:val="Unresolved Mention1"/>
    <w:basedOn w:val="DefaultParagraphFont"/>
    <w:uiPriority w:val="99"/>
    <w:semiHidden/>
    <w:unhideWhenUsed/>
    <w:rsid w:val="0087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FDB8E29FEF04FAD1CBFDA3EB4C5A9" ma:contentTypeVersion="16" ma:contentTypeDescription="Create a new document." ma:contentTypeScope="" ma:versionID="43b5c6bcaa641f5817654f2b2f9222c6">
  <xsd:schema xmlns:xsd="http://www.w3.org/2001/XMLSchema" xmlns:xs="http://www.w3.org/2001/XMLSchema" xmlns:p="http://schemas.microsoft.com/office/2006/metadata/properties" xmlns:ns1="http://schemas.microsoft.com/sharepoint/v3" xmlns:ns3="341fd9fb-e5b8-4aca-859f-ea5799bb72c0" xmlns:ns4="3db89d0c-67c2-4a5d-b98c-d4fc52e76eb0" targetNamespace="http://schemas.microsoft.com/office/2006/metadata/properties" ma:root="true" ma:fieldsID="2c7a9df246fadca2248dad13614fea76" ns1:_="" ns3:_="" ns4:_="">
    <xsd:import namespace="http://schemas.microsoft.com/sharepoint/v3"/>
    <xsd:import namespace="341fd9fb-e5b8-4aca-859f-ea5799bb72c0"/>
    <xsd:import namespace="3db89d0c-67c2-4a5d-b98c-d4fc52e76e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fd9fb-e5b8-4aca-859f-ea5799bb7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89d0c-67c2-4a5d-b98c-d4fc52e76e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FB6229-DD4B-4B3F-B282-C6288B45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1fd9fb-e5b8-4aca-859f-ea5799bb72c0"/>
    <ds:schemaRef ds:uri="3db89d0c-67c2-4a5d-b98c-d4fc52e7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C29AA-088C-412E-9EEC-38989D67E9AD}">
  <ds:schemaRefs>
    <ds:schemaRef ds:uri="http://schemas.microsoft.com/sharepoint/v3/contenttype/forms"/>
  </ds:schemaRefs>
</ds:datastoreItem>
</file>

<file path=customXml/itemProps3.xml><?xml version="1.0" encoding="utf-8"?>
<ds:datastoreItem xmlns:ds="http://schemas.openxmlformats.org/officeDocument/2006/customXml" ds:itemID="{1300428D-6680-4D86-8FF5-F787BDE42377}">
  <ds:schemaRefs>
    <ds:schemaRef ds:uri="341fd9fb-e5b8-4aca-859f-ea5799bb72c0"/>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sharepoint/v3"/>
    <ds:schemaRef ds:uri="http://purl.org/dc/dcmitype/"/>
    <ds:schemaRef ds:uri="3db89d0c-67c2-4a5d-b98c-d4fc52e76eb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3203</Words>
  <Characters>18261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 J. Combs</cp:lastModifiedBy>
  <cp:revision>2</cp:revision>
  <cp:lastPrinted>1900-01-01T05:00:00Z</cp:lastPrinted>
  <dcterms:created xsi:type="dcterms:W3CDTF">2021-09-20T00:20:00Z</dcterms:created>
  <dcterms:modified xsi:type="dcterms:W3CDTF">2021-09-20T00:20:00Z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0x010100E2AFDB8E29FEF04FAD1CBFDA3EB4C5A9</vt:lpwstr>
  </property>
</Properties>
</file>